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7B3E" w14:textId="77777777" w:rsidR="00261903" w:rsidRDefault="00261903" w:rsidP="00261903">
      <w:pPr>
        <w:ind w:left="360" w:hanging="360"/>
        <w:jc w:val="center"/>
        <w:rPr>
          <w:rFonts w:ascii="微軟正黑體" w:eastAsia="微軟正黑體" w:hAnsi="微軟正黑體"/>
        </w:rPr>
      </w:pPr>
    </w:p>
    <w:p w14:paraId="4D948149" w14:textId="77777777" w:rsidR="00261903" w:rsidRDefault="00261903" w:rsidP="00261903">
      <w:pPr>
        <w:ind w:left="360" w:hanging="360"/>
        <w:jc w:val="center"/>
        <w:rPr>
          <w:rFonts w:ascii="微軟正黑體" w:eastAsia="微軟正黑體" w:hAnsi="微軟正黑體"/>
        </w:rPr>
      </w:pPr>
    </w:p>
    <w:p w14:paraId="30334476" w14:textId="77777777" w:rsidR="00261903" w:rsidRDefault="00261903" w:rsidP="00261903">
      <w:pPr>
        <w:ind w:left="360" w:hanging="360"/>
        <w:jc w:val="center"/>
        <w:rPr>
          <w:rFonts w:ascii="微軟正黑體" w:eastAsia="微軟正黑體" w:hAnsi="微軟正黑體"/>
        </w:rPr>
      </w:pPr>
    </w:p>
    <w:p w14:paraId="4C9FB7E9" w14:textId="77777777" w:rsidR="00261903" w:rsidRDefault="00261903" w:rsidP="00261903">
      <w:pPr>
        <w:ind w:left="360" w:hanging="360"/>
        <w:jc w:val="center"/>
        <w:rPr>
          <w:rFonts w:ascii="微軟正黑體" w:eastAsia="微軟正黑體" w:hAnsi="微軟正黑體"/>
        </w:rPr>
      </w:pPr>
    </w:p>
    <w:p w14:paraId="313B30E4" w14:textId="77777777" w:rsidR="00261903" w:rsidRDefault="00261903" w:rsidP="00261903">
      <w:pPr>
        <w:ind w:left="360" w:hanging="360"/>
        <w:jc w:val="center"/>
        <w:rPr>
          <w:rFonts w:ascii="微軟正黑體" w:eastAsia="微軟正黑體" w:hAnsi="微軟正黑體" w:hint="eastAsia"/>
        </w:rPr>
      </w:pPr>
    </w:p>
    <w:p w14:paraId="714B35EC" w14:textId="32DFC4FA" w:rsidR="00261903" w:rsidRPr="00261903" w:rsidRDefault="00261903" w:rsidP="00261903">
      <w:pPr>
        <w:ind w:left="360" w:hanging="360"/>
        <w:jc w:val="center"/>
        <w:rPr>
          <w:rFonts w:ascii="Times New Roman" w:eastAsia="微軟正黑體" w:hAnsi="Times New Roman" w:cs="Times New Roman"/>
          <w:sz w:val="96"/>
          <w:szCs w:val="96"/>
        </w:rPr>
      </w:pPr>
      <w:r w:rsidRPr="00261903">
        <w:rPr>
          <w:rFonts w:ascii="Times New Roman" w:eastAsia="微軟正黑體" w:hAnsi="Times New Roman" w:cs="Times New Roman"/>
          <w:sz w:val="96"/>
          <w:szCs w:val="96"/>
        </w:rPr>
        <w:t>111-2</w:t>
      </w:r>
    </w:p>
    <w:p w14:paraId="46F2C7EE" w14:textId="36D700EC" w:rsidR="00261903" w:rsidRPr="00261903" w:rsidRDefault="00261903" w:rsidP="00261903">
      <w:pPr>
        <w:ind w:left="360" w:hanging="360"/>
        <w:jc w:val="center"/>
        <w:rPr>
          <w:rFonts w:ascii="Times New Roman" w:eastAsia="微軟正黑體" w:hAnsi="Times New Roman" w:cs="Times New Roman"/>
          <w:sz w:val="96"/>
          <w:szCs w:val="96"/>
        </w:rPr>
      </w:pPr>
      <w:r w:rsidRPr="00261903">
        <w:rPr>
          <w:rFonts w:ascii="Times New Roman" w:eastAsia="微軟正黑體" w:hAnsi="Times New Roman" w:cs="Times New Roman"/>
          <w:sz w:val="96"/>
          <w:szCs w:val="96"/>
        </w:rPr>
        <w:t>國際財務管理</w:t>
      </w:r>
    </w:p>
    <w:p w14:paraId="0CD9F7C9" w14:textId="37EA6950" w:rsidR="00261903" w:rsidRDefault="00261903" w:rsidP="00261903">
      <w:pPr>
        <w:ind w:left="360" w:hanging="360"/>
        <w:jc w:val="center"/>
        <w:rPr>
          <w:rFonts w:ascii="Times New Roman" w:eastAsia="微軟正黑體" w:hAnsi="Times New Roman" w:cs="Times New Roman"/>
          <w:sz w:val="96"/>
          <w:szCs w:val="96"/>
        </w:rPr>
      </w:pPr>
      <w:r w:rsidRPr="00261903">
        <w:rPr>
          <w:rFonts w:ascii="Times New Roman" w:eastAsia="微軟正黑體" w:hAnsi="Times New Roman" w:cs="Times New Roman"/>
          <w:sz w:val="96"/>
          <w:szCs w:val="96"/>
        </w:rPr>
        <w:t>期末報告</w:t>
      </w:r>
    </w:p>
    <w:p w14:paraId="5E8E6284" w14:textId="77777777" w:rsidR="00261903" w:rsidRPr="00261903" w:rsidRDefault="00261903" w:rsidP="00261903">
      <w:pPr>
        <w:ind w:left="360" w:hanging="360"/>
        <w:jc w:val="center"/>
        <w:rPr>
          <w:rFonts w:ascii="Times New Roman" w:eastAsia="微軟正黑體" w:hAnsi="Times New Roman" w:cs="Times New Roman" w:hint="eastAsia"/>
          <w:sz w:val="96"/>
          <w:szCs w:val="96"/>
        </w:rPr>
      </w:pPr>
    </w:p>
    <w:p w14:paraId="3ADA2EF7" w14:textId="2589E058" w:rsidR="00261903" w:rsidRPr="00261903" w:rsidRDefault="00261903" w:rsidP="00261903">
      <w:pPr>
        <w:ind w:left="360" w:hanging="360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261903">
        <w:rPr>
          <w:rFonts w:ascii="Times New Roman" w:eastAsia="微軟正黑體" w:hAnsi="Times New Roman" w:cs="Times New Roman"/>
          <w:sz w:val="32"/>
          <w:szCs w:val="32"/>
        </w:rPr>
        <w:t>德文四</w:t>
      </w:r>
      <w:r w:rsidRPr="00261903">
        <w:rPr>
          <w:rFonts w:ascii="Times New Roman" w:eastAsia="微軟正黑體" w:hAnsi="Times New Roman" w:cs="Times New Roman"/>
          <w:sz w:val="32"/>
          <w:szCs w:val="32"/>
        </w:rPr>
        <w:t xml:space="preserve"> 08123084 </w:t>
      </w:r>
      <w:r w:rsidRPr="00261903">
        <w:rPr>
          <w:rFonts w:ascii="Times New Roman" w:eastAsia="微軟正黑體" w:hAnsi="Times New Roman" w:cs="Times New Roman"/>
          <w:sz w:val="32"/>
          <w:szCs w:val="32"/>
        </w:rPr>
        <w:t>蔡燕亭</w:t>
      </w:r>
    </w:p>
    <w:p w14:paraId="46BBEAA6" w14:textId="77777777" w:rsidR="00261903" w:rsidRDefault="00261903" w:rsidP="0001650A">
      <w:pPr>
        <w:ind w:left="360" w:hanging="360"/>
      </w:pPr>
    </w:p>
    <w:p w14:paraId="6A8AA1D0" w14:textId="77777777" w:rsidR="00261903" w:rsidRDefault="00261903" w:rsidP="0001650A">
      <w:pPr>
        <w:ind w:left="360" w:hanging="360"/>
      </w:pPr>
    </w:p>
    <w:p w14:paraId="2475F999" w14:textId="77777777" w:rsidR="00261903" w:rsidRDefault="00261903" w:rsidP="0001650A">
      <w:pPr>
        <w:ind w:left="360" w:hanging="360"/>
      </w:pPr>
    </w:p>
    <w:p w14:paraId="42506421" w14:textId="77777777" w:rsidR="00261903" w:rsidRDefault="00261903" w:rsidP="0001650A">
      <w:pPr>
        <w:ind w:left="360" w:hanging="360"/>
      </w:pPr>
    </w:p>
    <w:p w14:paraId="1AE60321" w14:textId="77777777" w:rsidR="00261903" w:rsidRDefault="00261903" w:rsidP="0001650A">
      <w:pPr>
        <w:ind w:left="360" w:hanging="360"/>
      </w:pPr>
    </w:p>
    <w:p w14:paraId="3F9A9BF0" w14:textId="77777777" w:rsidR="00261903" w:rsidRDefault="00261903" w:rsidP="0001650A">
      <w:pPr>
        <w:ind w:left="360" w:hanging="360"/>
      </w:pPr>
    </w:p>
    <w:p w14:paraId="768E0819" w14:textId="77777777" w:rsidR="00261903" w:rsidRDefault="00261903" w:rsidP="0001650A">
      <w:pPr>
        <w:ind w:left="360" w:hanging="360"/>
      </w:pPr>
    </w:p>
    <w:p w14:paraId="53C2E669" w14:textId="77777777" w:rsidR="00261903" w:rsidRDefault="00261903" w:rsidP="0001650A">
      <w:pPr>
        <w:ind w:left="360" w:hanging="360"/>
        <w:rPr>
          <w:rFonts w:hint="eastAsia"/>
        </w:rPr>
      </w:pPr>
    </w:p>
    <w:p w14:paraId="6A9E8812" w14:textId="77777777" w:rsidR="0001650A" w:rsidRPr="00261903" w:rsidRDefault="00CA7184" w:rsidP="0001650A">
      <w:pPr>
        <w:pStyle w:val="a4"/>
        <w:numPr>
          <w:ilvl w:val="0"/>
          <w:numId w:val="2"/>
        </w:numPr>
        <w:ind w:leftChars="0"/>
        <w:rPr>
          <w:rFonts w:ascii="Times New Roman" w:eastAsiaTheme="minorEastAsia" w:hAnsi="Times New Roman" w:cs="Times New Roman"/>
          <w:b/>
          <w:bCs/>
        </w:rPr>
      </w:pPr>
      <w:r w:rsidRPr="00261903">
        <w:rPr>
          <w:rFonts w:ascii="Times New Roman" w:eastAsiaTheme="minorEastAsia" w:hAnsi="Times New Roman" w:cs="Times New Roman"/>
          <w:b/>
          <w:bCs/>
        </w:rPr>
        <w:lastRenderedPageBreak/>
        <w:t>以國內</w:t>
      </w:r>
      <w:r w:rsidRPr="00261903">
        <w:rPr>
          <w:rFonts w:ascii="Times New Roman" w:eastAsiaTheme="minorEastAsia" w:hAnsi="Times New Roman" w:cs="Times New Roman"/>
          <w:b/>
          <w:bCs/>
        </w:rPr>
        <w:t>4</w:t>
      </w:r>
      <w:r w:rsidRPr="00261903">
        <w:rPr>
          <w:rFonts w:ascii="Times New Roman" w:eastAsiaTheme="minorEastAsia" w:hAnsi="Times New Roman" w:cs="Times New Roman"/>
          <w:b/>
          <w:bCs/>
        </w:rPr>
        <w:t>支股票（</w:t>
      </w:r>
      <w:r w:rsidRPr="00261903">
        <w:rPr>
          <w:rFonts w:ascii="Times New Roman" w:eastAsiaTheme="minorEastAsia" w:hAnsi="Times New Roman" w:cs="Times New Roman"/>
          <w:b/>
          <w:bCs/>
        </w:rPr>
        <w:t>1</w:t>
      </w:r>
      <w:r w:rsidRPr="00261903">
        <w:rPr>
          <w:rFonts w:ascii="Times New Roman" w:eastAsiaTheme="minorEastAsia" w:hAnsi="Times New Roman" w:cs="Times New Roman"/>
          <w:b/>
          <w:bCs/>
        </w:rPr>
        <w:t>支電子股、</w:t>
      </w:r>
      <w:r w:rsidRPr="00261903">
        <w:rPr>
          <w:rFonts w:ascii="Times New Roman" w:eastAsiaTheme="minorEastAsia" w:hAnsi="Times New Roman" w:cs="Times New Roman"/>
          <w:b/>
          <w:bCs/>
        </w:rPr>
        <w:t>1</w:t>
      </w:r>
      <w:r w:rsidRPr="00261903">
        <w:rPr>
          <w:rFonts w:ascii="Times New Roman" w:eastAsiaTheme="minorEastAsia" w:hAnsi="Times New Roman" w:cs="Times New Roman"/>
          <w:b/>
          <w:bCs/>
        </w:rPr>
        <w:t>支金融股、</w:t>
      </w:r>
      <w:r w:rsidRPr="00261903">
        <w:rPr>
          <w:rFonts w:ascii="Times New Roman" w:eastAsiaTheme="minorEastAsia" w:hAnsi="Times New Roman" w:cs="Times New Roman"/>
          <w:b/>
          <w:bCs/>
        </w:rPr>
        <w:t>1</w:t>
      </w:r>
      <w:r w:rsidRPr="00261903">
        <w:rPr>
          <w:rFonts w:ascii="Times New Roman" w:eastAsiaTheme="minorEastAsia" w:hAnsi="Times New Roman" w:cs="Times New Roman"/>
          <w:b/>
          <w:bCs/>
        </w:rPr>
        <w:t>支傳統產業公司、另</w:t>
      </w:r>
      <w:r w:rsidRPr="00261903">
        <w:rPr>
          <w:rFonts w:ascii="Times New Roman" w:eastAsiaTheme="minorEastAsia" w:hAnsi="Times New Roman" w:cs="Times New Roman"/>
          <w:b/>
          <w:bCs/>
        </w:rPr>
        <w:t>1</w:t>
      </w:r>
      <w:r w:rsidRPr="00261903">
        <w:rPr>
          <w:rFonts w:ascii="Times New Roman" w:eastAsiaTheme="minorEastAsia" w:hAnsi="Times New Roman" w:cs="Times New Roman"/>
          <w:b/>
          <w:bCs/>
        </w:rPr>
        <w:t>支自選股票），或是</w:t>
      </w:r>
      <w:r w:rsidRPr="00261903">
        <w:rPr>
          <w:rFonts w:ascii="Times New Roman" w:eastAsiaTheme="minorEastAsia" w:hAnsi="Times New Roman" w:cs="Times New Roman"/>
          <w:b/>
          <w:bCs/>
        </w:rPr>
        <w:t>4</w:t>
      </w:r>
      <w:r w:rsidRPr="00261903">
        <w:rPr>
          <w:rFonts w:ascii="Times New Roman" w:eastAsiaTheme="minorEastAsia" w:hAnsi="Times New Roman" w:cs="Times New Roman"/>
          <w:b/>
          <w:bCs/>
        </w:rPr>
        <w:t>個國家的</w:t>
      </w:r>
      <w:r w:rsidRPr="00261903">
        <w:rPr>
          <w:rFonts w:ascii="Times New Roman" w:eastAsiaTheme="minorEastAsia" w:hAnsi="Times New Roman" w:cs="Times New Roman"/>
          <w:b/>
          <w:bCs/>
        </w:rPr>
        <w:t>ETF</w:t>
      </w:r>
      <w:r w:rsidRPr="00261903">
        <w:rPr>
          <w:rFonts w:ascii="Times New Roman" w:eastAsiaTheme="minorEastAsia" w:hAnsi="Times New Roman" w:cs="Times New Roman"/>
          <w:b/>
          <w:bCs/>
        </w:rPr>
        <w:t>或是大盤指數（選此者加</w:t>
      </w:r>
      <w:r w:rsidRPr="00261903">
        <w:rPr>
          <w:rFonts w:ascii="Times New Roman" w:eastAsiaTheme="minorEastAsia" w:hAnsi="Times New Roman" w:cs="Times New Roman"/>
          <w:b/>
          <w:bCs/>
        </w:rPr>
        <w:t>10</w:t>
      </w:r>
      <w:r w:rsidRPr="00261903">
        <w:rPr>
          <w:rFonts w:ascii="Times New Roman" w:eastAsiaTheme="minorEastAsia" w:hAnsi="Times New Roman" w:cs="Times New Roman"/>
          <w:b/>
          <w:bCs/>
        </w:rPr>
        <w:t>分），</w:t>
      </w:r>
      <w:r w:rsidRPr="00261903">
        <w:rPr>
          <w:rFonts w:ascii="Times New Roman" w:eastAsiaTheme="minorEastAsia" w:hAnsi="Times New Roman" w:cs="Times New Roman"/>
          <w:b/>
          <w:bCs/>
        </w:rPr>
        <w:t>20230301</w:t>
      </w:r>
      <w:r w:rsidRPr="00261903">
        <w:rPr>
          <w:rFonts w:ascii="Times New Roman" w:eastAsiaTheme="minorEastAsia" w:hAnsi="Times New Roman" w:cs="Times New Roman"/>
          <w:b/>
          <w:bCs/>
        </w:rPr>
        <w:t>過去</w:t>
      </w:r>
      <w:r w:rsidRPr="00261903">
        <w:rPr>
          <w:rFonts w:ascii="Times New Roman" w:eastAsiaTheme="minorEastAsia" w:hAnsi="Times New Roman" w:cs="Times New Roman"/>
          <w:b/>
          <w:bCs/>
        </w:rPr>
        <w:t>501</w:t>
      </w:r>
      <w:r w:rsidRPr="00261903">
        <w:rPr>
          <w:rFonts w:ascii="Times New Roman" w:eastAsiaTheme="minorEastAsia" w:hAnsi="Times New Roman" w:cs="Times New Roman"/>
          <w:b/>
          <w:bCs/>
        </w:rPr>
        <w:t>個或以上交易日的日股價，計算日報酬率後，來完成投資機會集合（相同報酬率下有最小風險）的製作。</w:t>
      </w:r>
    </w:p>
    <w:p w14:paraId="2893A3A3" w14:textId="039ABCFA" w:rsidR="00261903" w:rsidRDefault="00261903" w:rsidP="0001650A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從</w:t>
      </w:r>
      <w:r>
        <w:rPr>
          <w:rFonts w:ascii="Times New Roman" w:eastAsiaTheme="minorEastAsia" w:hAnsi="Times New Roman" w:cs="Times New Roman"/>
        </w:rPr>
        <w:t>Yahoo</w:t>
      </w:r>
      <w:r>
        <w:rPr>
          <w:rFonts w:ascii="Times New Roman" w:eastAsiaTheme="minorEastAsia" w:hAnsi="Times New Roman" w:cs="Times New Roman" w:hint="eastAsia"/>
        </w:rPr>
        <w:t>股價</w:t>
      </w:r>
      <w:r w:rsidRPr="00261903">
        <w:rPr>
          <w:rFonts w:ascii="Times New Roman" w:eastAsiaTheme="minorEastAsia" w:hAnsi="Times New Roman" w:cs="Times New Roman"/>
        </w:rPr>
        <w:t>資料庫取得</w:t>
      </w:r>
      <w:r w:rsidRPr="007C1BBF">
        <w:rPr>
          <w:rFonts w:ascii="Times New Roman" w:eastAsiaTheme="minorEastAsia" w:hAnsi="Times New Roman" w:cs="Times New Roman"/>
        </w:rPr>
        <w:t>2021</w:t>
      </w:r>
      <w:r w:rsidRPr="007C1BBF">
        <w:rPr>
          <w:rFonts w:ascii="Times New Roman" w:eastAsiaTheme="minorEastAsia" w:hAnsi="Times New Roman" w:cs="Times New Roman"/>
        </w:rPr>
        <w:t>年</w:t>
      </w:r>
      <w:r w:rsidRPr="007C1BBF">
        <w:rPr>
          <w:rFonts w:ascii="Times New Roman" w:eastAsiaTheme="minorEastAsia" w:hAnsi="Times New Roman" w:cs="Times New Roman"/>
        </w:rPr>
        <w:t>1</w:t>
      </w:r>
      <w:r w:rsidRPr="007C1BBF">
        <w:rPr>
          <w:rFonts w:ascii="Times New Roman" w:eastAsiaTheme="minorEastAsia" w:hAnsi="Times New Roman" w:cs="Times New Roman"/>
        </w:rPr>
        <w:t>月</w:t>
      </w:r>
      <w:r w:rsidRPr="007C1BBF">
        <w:rPr>
          <w:rFonts w:ascii="Times New Roman" w:eastAsiaTheme="minorEastAsia" w:hAnsi="Times New Roman" w:cs="Times New Roman"/>
        </w:rPr>
        <w:t>4</w:t>
      </w:r>
      <w:r w:rsidRPr="007C1BBF">
        <w:rPr>
          <w:rFonts w:ascii="Times New Roman" w:eastAsiaTheme="minorEastAsia" w:hAnsi="Times New Roman" w:cs="Times New Roman"/>
        </w:rPr>
        <w:t>日到</w:t>
      </w:r>
      <w:r w:rsidRPr="007C1BBF">
        <w:rPr>
          <w:rFonts w:ascii="Times New Roman" w:eastAsiaTheme="minorEastAsia" w:hAnsi="Times New Roman" w:cs="Times New Roman"/>
        </w:rPr>
        <w:t>2023</w:t>
      </w:r>
      <w:r w:rsidRPr="007C1BBF">
        <w:rPr>
          <w:rFonts w:ascii="Times New Roman" w:eastAsiaTheme="minorEastAsia" w:hAnsi="Times New Roman" w:cs="Times New Roman"/>
        </w:rPr>
        <w:t>年</w:t>
      </w:r>
      <w:r w:rsidRPr="007C1BBF">
        <w:rPr>
          <w:rFonts w:ascii="Times New Roman" w:eastAsiaTheme="minorEastAsia" w:hAnsi="Times New Roman" w:cs="Times New Roman"/>
        </w:rPr>
        <w:t>2</w:t>
      </w:r>
      <w:r w:rsidRPr="007C1BBF">
        <w:rPr>
          <w:rFonts w:ascii="Times New Roman" w:eastAsiaTheme="minorEastAsia" w:hAnsi="Times New Roman" w:cs="Times New Roman"/>
        </w:rPr>
        <w:t>月</w:t>
      </w:r>
      <w:r w:rsidRPr="007C1BBF">
        <w:rPr>
          <w:rFonts w:ascii="Times New Roman" w:eastAsiaTheme="minorEastAsia" w:hAnsi="Times New Roman" w:cs="Times New Roman"/>
        </w:rPr>
        <w:t>24</w:t>
      </w:r>
      <w:r w:rsidRPr="007C1BBF">
        <w:rPr>
          <w:rFonts w:ascii="Times New Roman" w:eastAsiaTheme="minorEastAsia" w:hAnsi="Times New Roman" w:cs="Times New Roman"/>
        </w:rPr>
        <w:t>日，</w:t>
      </w:r>
      <w:r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Theme="minorEastAsia" w:hAnsi="Times New Roman" w:cs="Times New Roman"/>
        </w:rPr>
        <w:t>20</w:t>
      </w:r>
      <w:r w:rsidRPr="00261903">
        <w:rPr>
          <w:rFonts w:ascii="Times New Roman" w:eastAsiaTheme="minorEastAsia" w:hAnsi="Times New Roman" w:cs="Times New Roman"/>
        </w:rPr>
        <w:t>筆四家公司</w:t>
      </w:r>
      <w:r>
        <w:rPr>
          <w:rFonts w:ascii="Times New Roman" w:eastAsiaTheme="minorEastAsia" w:hAnsi="Times New Roman" w:cs="Times New Roman" w:hint="eastAsia"/>
        </w:rPr>
        <w:t>（</w:t>
      </w:r>
      <w:r w:rsidRPr="00261903">
        <w:rPr>
          <w:rFonts w:ascii="Times New Roman" w:eastAsiaTheme="minorEastAsia" w:hAnsi="Times New Roman" w:cs="Times New Roman"/>
        </w:rPr>
        <w:t>台積電、兆豐金、</w:t>
      </w:r>
      <w:r>
        <w:rPr>
          <w:rFonts w:ascii="Times New Roman" w:eastAsiaTheme="minorEastAsia" w:hAnsi="Times New Roman" w:cs="Times New Roman" w:hint="eastAsia"/>
        </w:rPr>
        <w:t>中鋼</w:t>
      </w:r>
      <w:r w:rsidRPr="00261903">
        <w:rPr>
          <w:rFonts w:ascii="Times New Roman" w:eastAsiaTheme="minorEastAsia" w:hAnsi="Times New Roman" w:cs="Times New Roman"/>
        </w:rPr>
        <w:t>、</w:t>
      </w:r>
      <w:r>
        <w:rPr>
          <w:rFonts w:ascii="Times New Roman" w:eastAsiaTheme="minorEastAsia" w:hAnsi="Times New Roman" w:cs="Times New Roman" w:hint="eastAsia"/>
        </w:rPr>
        <w:t>台泥）</w:t>
      </w:r>
      <w:r w:rsidRPr="00261903">
        <w:rPr>
          <w:rFonts w:ascii="Times New Roman" w:eastAsiaTheme="minorEastAsia" w:hAnsi="Times New Roman" w:cs="Times New Roman"/>
        </w:rPr>
        <w:t>每日</w:t>
      </w:r>
      <w:r>
        <w:rPr>
          <w:rFonts w:ascii="Times New Roman" w:eastAsiaTheme="minorEastAsia" w:hAnsi="Times New Roman" w:cs="Times New Roman" w:hint="eastAsia"/>
        </w:rPr>
        <w:t>的</w:t>
      </w:r>
      <w:r w:rsidRPr="00261903">
        <w:rPr>
          <w:rFonts w:ascii="Times New Roman" w:eastAsiaTheme="minorEastAsia" w:hAnsi="Times New Roman" w:cs="Times New Roman"/>
        </w:rPr>
        <w:t>收盤價</w:t>
      </w:r>
      <w:r>
        <w:rPr>
          <w:rFonts w:ascii="Times New Roman" w:eastAsiaTheme="minorEastAsia" w:hAnsi="Times New Roman" w:cs="Times New Roman" w:hint="eastAsia"/>
        </w:rPr>
        <w:t>，再分別計算出每家公司的日</w:t>
      </w:r>
      <w:r w:rsidRPr="00261903">
        <w:rPr>
          <w:rFonts w:ascii="Times New Roman" w:eastAsiaTheme="minorEastAsia" w:hAnsi="Times New Roman" w:cs="Times New Roman"/>
        </w:rPr>
        <w:t>平均報酬率</w:t>
      </w:r>
      <w:r>
        <w:rPr>
          <w:rFonts w:ascii="Times New Roman" w:eastAsiaTheme="minorEastAsia" w:hAnsi="Times New Roman" w:cs="Times New Roman" w:hint="eastAsia"/>
        </w:rPr>
        <w:t>和</w:t>
      </w:r>
      <w:r w:rsidRPr="00261903">
        <w:rPr>
          <w:rFonts w:ascii="Times New Roman" w:eastAsiaTheme="minorEastAsia" w:hAnsi="Times New Roman" w:cs="Times New Roman"/>
        </w:rPr>
        <w:t>風險</w:t>
      </w:r>
      <w:r>
        <w:rPr>
          <w:rFonts w:ascii="Times New Roman" w:eastAsiaTheme="minorEastAsia" w:hAnsi="Times New Roman" w:cs="Times New Roman" w:hint="eastAsia"/>
        </w:rPr>
        <w:t>，數據如下表所示。</w:t>
      </w:r>
      <w:r w:rsidRPr="00261903">
        <w:rPr>
          <w:rFonts w:ascii="Times New Roman" w:eastAsiaTheme="minorEastAsia" w:hAnsi="Times New Roman" w:cs="Times New Roman" w:hint="eastAsia"/>
        </w:rPr>
        <w:t>。</w:t>
      </w:r>
    </w:p>
    <w:p w14:paraId="7980A6DA" w14:textId="6A9D1DF8" w:rsidR="0001650A" w:rsidRDefault="003A7B21" w:rsidP="00CB04FA">
      <w:pPr>
        <w:pStyle w:val="a4"/>
        <w:ind w:leftChars="0" w:left="357"/>
        <w:rPr>
          <w:rFonts w:ascii="Times New Roman" w:eastAsiaTheme="minorEastAsia" w:hAnsi="Times New Roman" w:cs="Times New Roman"/>
        </w:rPr>
      </w:pPr>
      <w:r w:rsidRPr="007C1BBF">
        <w:rPr>
          <w:rFonts w:ascii="Times New Roman" w:hAnsi="Times New Roman" w:cs="Times New Roman"/>
          <w:noProof/>
        </w:rPr>
        <w:drawing>
          <wp:inline distT="0" distB="0" distL="0" distR="0" wp14:anchorId="41A7A348" wp14:editId="6672109F">
            <wp:extent cx="3254188" cy="676797"/>
            <wp:effectExtent l="0" t="0" r="0" b="0"/>
            <wp:docPr id="7912945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945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9668" cy="7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EFA4D" w14:textId="1955DC70" w:rsidR="00261903" w:rsidRPr="007C1BBF" w:rsidRDefault="00261903" w:rsidP="0001650A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使用資料分析工具找出四家公司的共變數：</w:t>
      </w:r>
    </w:p>
    <w:p w14:paraId="7CB10F48" w14:textId="77777777" w:rsidR="0001650A" w:rsidRDefault="003A7B21" w:rsidP="00CB04FA">
      <w:pPr>
        <w:pStyle w:val="a4"/>
        <w:ind w:leftChars="0" w:left="357"/>
        <w:rPr>
          <w:rFonts w:ascii="Times New Roman" w:eastAsiaTheme="minorEastAsia" w:hAnsi="Times New Roman" w:cs="Times New Roman"/>
        </w:rPr>
      </w:pPr>
      <w:r w:rsidRPr="007C1BBF">
        <w:rPr>
          <w:rFonts w:ascii="Times New Roman" w:hAnsi="Times New Roman" w:cs="Times New Roman"/>
          <w:noProof/>
        </w:rPr>
        <w:drawing>
          <wp:inline distT="0" distB="0" distL="0" distR="0" wp14:anchorId="60FFC440" wp14:editId="029A67EB">
            <wp:extent cx="3348318" cy="877620"/>
            <wp:effectExtent l="0" t="0" r="5080" b="0"/>
            <wp:docPr id="139738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89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7692" cy="9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998D" w14:textId="0F9B7041" w:rsidR="00261903" w:rsidRPr="007C1BBF" w:rsidRDefault="00CB04FA" w:rsidP="0001650A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</w:rPr>
      </w:pPr>
      <w:r w:rsidRPr="007C1BBF">
        <w:rPr>
          <w:rFonts w:ascii="Times New Roman" w:eastAsiaTheme="minorEastAsia" w:hAnsi="Times New Roman" w:cs="Times New Roman"/>
        </w:rPr>
        <w:t>利用規劃求解找出「在相同的投資組合報酬率下，最小的投資組合風險」</w:t>
      </w:r>
      <w:r>
        <w:rPr>
          <w:rFonts w:ascii="Times New Roman" w:eastAsiaTheme="minorEastAsia" w:hAnsi="Times New Roman" w:cs="Times New Roman" w:hint="eastAsia"/>
        </w:rPr>
        <w:t>：</w:t>
      </w:r>
    </w:p>
    <w:p w14:paraId="42F4D184" w14:textId="578DF9B2" w:rsidR="00CA7184" w:rsidRPr="007C1BBF" w:rsidRDefault="003A7B21" w:rsidP="00CB04FA">
      <w:pPr>
        <w:pStyle w:val="a4"/>
        <w:ind w:leftChars="0" w:left="357"/>
        <w:rPr>
          <w:rFonts w:ascii="Times New Roman" w:eastAsiaTheme="minorEastAsia" w:hAnsi="Times New Roman" w:cs="Times New Roman"/>
        </w:rPr>
      </w:pPr>
      <w:r w:rsidRPr="007C1BBF">
        <w:rPr>
          <w:rFonts w:ascii="Times New Roman" w:hAnsi="Times New Roman" w:cs="Times New Roman"/>
          <w:noProof/>
        </w:rPr>
        <w:drawing>
          <wp:inline distT="0" distB="0" distL="0" distR="0" wp14:anchorId="67E44301" wp14:editId="693FF772">
            <wp:extent cx="4516926" cy="4733365"/>
            <wp:effectExtent l="0" t="0" r="4445" b="3810"/>
            <wp:docPr id="67694475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447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861" cy="48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60C13" w14:textId="3EDA2033" w:rsidR="006406F9" w:rsidRDefault="006406F9" w:rsidP="006406F9">
      <w:pPr>
        <w:spacing w:beforeLines="50" w:before="1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lastRenderedPageBreak/>
        <w:t>最後</w:t>
      </w:r>
      <w:r w:rsidRPr="007C1BBF">
        <w:rPr>
          <w:rFonts w:ascii="Times New Roman" w:eastAsiaTheme="minorEastAsia" w:hAnsi="Times New Roman" w:cs="Times New Roman"/>
        </w:rPr>
        <w:t>將每一組「投資組合風險」和「投資組合報酬率」描繪成效率前緣曲線</w:t>
      </w:r>
      <w:r>
        <w:rPr>
          <w:rFonts w:ascii="Times New Roman" w:eastAsiaTheme="minorEastAsia" w:hAnsi="Times New Roman" w:cs="Times New Roman" w:hint="eastAsia"/>
        </w:rPr>
        <w:t>：</w:t>
      </w:r>
    </w:p>
    <w:p w14:paraId="771D4F3C" w14:textId="106C85C9" w:rsidR="006406F9" w:rsidRDefault="006406F9" w:rsidP="006406F9">
      <w:pPr>
        <w:spacing w:beforeLines="50" w:before="18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圖</w:t>
      </w:r>
      <w:r>
        <w:rPr>
          <w:rFonts w:ascii="Times New Roman" w:eastAsiaTheme="minorEastAsia" w:hAnsi="Times New Roman" w:cs="Times New Roman" w:hint="eastAsia"/>
        </w:rPr>
        <w:t>形表達的是</w:t>
      </w:r>
      <w:r w:rsidRPr="007C1BBF">
        <w:rPr>
          <w:rFonts w:ascii="Times New Roman" w:eastAsiaTheme="minorEastAsia" w:hAnsi="Times New Roman" w:cs="Times New Roman"/>
        </w:rPr>
        <w:t>「在相同的投資組合報酬率下，</w:t>
      </w:r>
      <w:r w:rsidR="00CC6267">
        <w:rPr>
          <w:rFonts w:ascii="Times New Roman" w:eastAsiaTheme="minorEastAsia" w:hAnsi="Times New Roman" w:cs="Times New Roman" w:hint="eastAsia"/>
        </w:rPr>
        <w:t>有</w:t>
      </w:r>
      <w:r w:rsidRPr="007C1BBF">
        <w:rPr>
          <w:rFonts w:ascii="Times New Roman" w:eastAsiaTheme="minorEastAsia" w:hAnsi="Times New Roman" w:cs="Times New Roman"/>
        </w:rPr>
        <w:t>最小的投資組合風險</w:t>
      </w:r>
      <w:r w:rsidR="00CC6267">
        <w:rPr>
          <w:rFonts w:ascii="Times New Roman" w:eastAsiaTheme="minorEastAsia" w:hAnsi="Times New Roman" w:cs="Times New Roman" w:hint="eastAsia"/>
        </w:rPr>
        <w:t>；在相同的投資組合風險時，相對可獲得較高的投資組合報酬率</w:t>
      </w:r>
      <w:r w:rsidRPr="007C1BBF">
        <w:rPr>
          <w:rFonts w:ascii="Times New Roman" w:eastAsiaTheme="minorEastAsia" w:hAnsi="Times New Roman" w:cs="Times New Roman"/>
        </w:rPr>
        <w:t>」</w:t>
      </w:r>
      <w:r>
        <w:rPr>
          <w:rFonts w:ascii="Times New Roman" w:eastAsiaTheme="minorEastAsia" w:hAnsi="Times New Roman" w:cs="Times New Roman" w:hint="eastAsia"/>
        </w:rPr>
        <w:t>，所以</w:t>
      </w:r>
      <w:r w:rsidRPr="007C1BBF">
        <w:rPr>
          <w:rFonts w:ascii="Times New Roman" w:eastAsiaTheme="minorEastAsia" w:hAnsi="Times New Roman" w:cs="Times New Roman"/>
        </w:rPr>
        <w:t>線上的每一點</w:t>
      </w:r>
      <w:r w:rsidR="00CC6267">
        <w:rPr>
          <w:rFonts w:ascii="Times New Roman" w:eastAsiaTheme="minorEastAsia" w:hAnsi="Times New Roman" w:cs="Times New Roman" w:hint="eastAsia"/>
        </w:rPr>
        <w:t>即</w:t>
      </w:r>
      <w:r w:rsidRPr="007C1BBF">
        <w:rPr>
          <w:rFonts w:ascii="Times New Roman" w:eastAsiaTheme="minorEastAsia" w:hAnsi="Times New Roman" w:cs="Times New Roman"/>
        </w:rPr>
        <w:t>是最佳的投資組合點。</w:t>
      </w:r>
    </w:p>
    <w:p w14:paraId="6879513B" w14:textId="22D1E74C" w:rsidR="00CC6267" w:rsidRPr="00CC6267" w:rsidRDefault="00CC6267" w:rsidP="006406F9">
      <w:pPr>
        <w:spacing w:beforeLines="50" w:before="180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例如此圖形的報酬率介於</w:t>
      </w:r>
      <w:r>
        <w:rPr>
          <w:rFonts w:ascii="Times New Roman" w:eastAsiaTheme="minorEastAsia" w:hAnsi="Times New Roman" w:cs="Times New Roman"/>
        </w:rPr>
        <w:t>0.0073%~</w:t>
      </w:r>
      <w:r>
        <w:rPr>
          <w:rFonts w:ascii="Times New Roman" w:eastAsiaTheme="minorEastAsia" w:hAnsi="Times New Roman" w:cs="Times New Roman"/>
        </w:rPr>
        <w:t>0.0674%</w:t>
      </w:r>
      <w:r>
        <w:rPr>
          <w:rFonts w:ascii="Times New Roman" w:eastAsiaTheme="minorEastAsia" w:hAnsi="Times New Roman" w:cs="Times New Roman" w:hint="eastAsia"/>
        </w:rPr>
        <w:t>之間，右上角代表高風險高報酬、左下角代表低風險低報酬。</w:t>
      </w:r>
    </w:p>
    <w:p w14:paraId="4162672F" w14:textId="77777777" w:rsidR="006406F9" w:rsidRDefault="006406F9">
      <w:pPr>
        <w:rPr>
          <w:rFonts w:ascii="Times New Roman" w:hAnsi="Times New Roman" w:cs="Times New Roman"/>
          <w:shd w:val="clear" w:color="auto" w:fill="DEEAF6" w:themeFill="accent5" w:themeFillTint="33"/>
        </w:rPr>
      </w:pPr>
    </w:p>
    <w:p w14:paraId="52426F5D" w14:textId="099F5A93" w:rsidR="00612293" w:rsidRPr="007C1BBF" w:rsidRDefault="00612293">
      <w:pPr>
        <w:rPr>
          <w:rFonts w:ascii="Times New Roman" w:hAnsi="Times New Roman" w:cs="Times New Roman"/>
          <w:shd w:val="clear" w:color="auto" w:fill="DEEAF6" w:themeFill="accent5" w:themeFillTint="33"/>
        </w:rPr>
      </w:pPr>
      <w:r w:rsidRPr="007C1BBF">
        <w:rPr>
          <w:rFonts w:ascii="Times New Roman" w:hAnsi="Times New Roman" w:cs="Times New Roman"/>
          <w:shd w:val="clear" w:color="auto" w:fill="DEEAF6" w:themeFill="accent5" w:themeFillTint="33"/>
        </w:rPr>
        <w:t>效率前緣圖</w:t>
      </w:r>
    </w:p>
    <w:p w14:paraId="2C331DAD" w14:textId="2E5A1E20" w:rsidR="00CA7184" w:rsidRPr="007C1BBF" w:rsidRDefault="003A7B21">
      <w:pPr>
        <w:rPr>
          <w:rFonts w:ascii="Times New Roman" w:hAnsi="Times New Roman" w:cs="Times New Roman"/>
        </w:rPr>
      </w:pPr>
      <w:r w:rsidRPr="007C1BBF">
        <w:rPr>
          <w:rFonts w:ascii="Times New Roman" w:hAnsi="Times New Roman" w:cs="Times New Roman"/>
          <w:noProof/>
        </w:rPr>
        <w:drawing>
          <wp:inline distT="0" distB="0" distL="0" distR="0" wp14:anchorId="285BA8EB" wp14:editId="12CA5B8F">
            <wp:extent cx="5334000" cy="3073400"/>
            <wp:effectExtent l="0" t="0" r="12700" b="12700"/>
            <wp:docPr id="1617515524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92ECD308-8C94-0E40-8FFE-36ADA6AE77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75934B" w14:textId="77777777" w:rsidR="00612293" w:rsidRPr="007C1BBF" w:rsidRDefault="00612293">
      <w:pPr>
        <w:rPr>
          <w:rFonts w:ascii="Times New Roman" w:eastAsiaTheme="minorEastAsia" w:hAnsi="Times New Roman" w:cs="Times New Roman"/>
        </w:rPr>
      </w:pPr>
    </w:p>
    <w:p w14:paraId="64B94120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35AF1353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4970298A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7EC7FDBD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0D42B505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24893657" w14:textId="77777777" w:rsidR="0001650A" w:rsidRDefault="0001650A" w:rsidP="0001650A">
      <w:pPr>
        <w:rPr>
          <w:rFonts w:ascii="Times New Roman" w:eastAsiaTheme="minorEastAsia" w:hAnsi="Times New Roman" w:cs="Times New Roman"/>
        </w:rPr>
      </w:pPr>
    </w:p>
    <w:p w14:paraId="354FC9D8" w14:textId="77777777" w:rsidR="00D10263" w:rsidRPr="007C1BBF" w:rsidRDefault="00D10263" w:rsidP="0001650A">
      <w:pPr>
        <w:rPr>
          <w:rFonts w:ascii="Times New Roman" w:eastAsiaTheme="minorEastAsia" w:hAnsi="Times New Roman" w:cs="Times New Roman" w:hint="eastAsia"/>
        </w:rPr>
      </w:pPr>
    </w:p>
    <w:p w14:paraId="0D7E15E1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395034C3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3A52E491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2E87EA5D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632EB64E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40AC53AE" w14:textId="77777777" w:rsidR="0001650A" w:rsidRPr="007C1BBF" w:rsidRDefault="0001650A" w:rsidP="0001650A">
      <w:pPr>
        <w:rPr>
          <w:rFonts w:ascii="Times New Roman" w:eastAsiaTheme="minorEastAsia" w:hAnsi="Times New Roman" w:cs="Times New Roman"/>
        </w:rPr>
      </w:pPr>
    </w:p>
    <w:p w14:paraId="2BD2B575" w14:textId="60A4AD21" w:rsidR="0001650A" w:rsidRPr="00D10263" w:rsidRDefault="0001650A" w:rsidP="0001650A">
      <w:pPr>
        <w:pStyle w:val="a4"/>
        <w:numPr>
          <w:ilvl w:val="0"/>
          <w:numId w:val="2"/>
        </w:numPr>
        <w:ind w:leftChars="0"/>
        <w:rPr>
          <w:rFonts w:ascii="Times New Roman" w:eastAsiaTheme="minorEastAsia" w:hAnsi="Times New Roman" w:cs="Times New Roman"/>
          <w:b/>
          <w:bCs/>
        </w:rPr>
      </w:pPr>
      <w:r w:rsidRPr="00D10263">
        <w:rPr>
          <w:rFonts w:ascii="Times New Roman" w:eastAsiaTheme="minorEastAsia" w:hAnsi="Times New Roman" w:cs="Times New Roman"/>
          <w:b/>
          <w:bCs/>
        </w:rPr>
        <w:lastRenderedPageBreak/>
        <w:t>完成</w:t>
      </w:r>
      <w:r w:rsidRPr="00D10263">
        <w:rPr>
          <w:rFonts w:ascii="Times New Roman" w:eastAsiaTheme="minorEastAsia" w:hAnsi="Times New Roman" w:cs="Times New Roman"/>
          <w:b/>
          <w:bCs/>
        </w:rPr>
        <w:t>PPP</w:t>
      </w:r>
      <w:r w:rsidRPr="00D10263">
        <w:rPr>
          <w:rFonts w:ascii="Times New Roman" w:eastAsiaTheme="minorEastAsia" w:hAnsi="Times New Roman" w:cs="Times New Roman"/>
          <w:b/>
          <w:bCs/>
        </w:rPr>
        <w:t>與</w:t>
      </w:r>
      <w:r w:rsidRPr="00D10263">
        <w:rPr>
          <w:rFonts w:ascii="Times New Roman" w:eastAsiaTheme="minorEastAsia" w:hAnsi="Times New Roman" w:cs="Times New Roman"/>
          <w:b/>
          <w:bCs/>
        </w:rPr>
        <w:t>IFE</w:t>
      </w:r>
      <w:r w:rsidRPr="00D10263">
        <w:rPr>
          <w:rFonts w:ascii="Times New Roman" w:eastAsiaTheme="minorEastAsia" w:hAnsi="Times New Roman" w:cs="Times New Roman"/>
          <w:b/>
          <w:bCs/>
        </w:rPr>
        <w:t>實證，也就是任選一個國家與台灣，過去的匯率、利率與通膨率至少兩年</w:t>
      </w:r>
      <w:r w:rsidRPr="00D10263">
        <w:rPr>
          <w:rFonts w:ascii="Times New Roman" w:eastAsiaTheme="minorEastAsia" w:hAnsi="Times New Roman" w:cs="Times New Roman"/>
          <w:b/>
          <w:bCs/>
        </w:rPr>
        <w:t>24</w:t>
      </w:r>
      <w:r w:rsidRPr="00D10263">
        <w:rPr>
          <w:rFonts w:ascii="Times New Roman" w:eastAsiaTheme="minorEastAsia" w:hAnsi="Times New Roman" w:cs="Times New Roman"/>
          <w:b/>
          <w:bCs/>
        </w:rPr>
        <w:t>個月以上的月資料，繪製</w:t>
      </w:r>
      <w:r w:rsidRPr="00D10263">
        <w:rPr>
          <w:rFonts w:ascii="Times New Roman" w:eastAsiaTheme="minorEastAsia" w:hAnsi="Times New Roman" w:cs="Times New Roman"/>
          <w:b/>
          <w:bCs/>
        </w:rPr>
        <w:t>PPP</w:t>
      </w:r>
      <w:r w:rsidRPr="00D10263">
        <w:rPr>
          <w:rFonts w:ascii="Times New Roman" w:eastAsiaTheme="minorEastAsia" w:hAnsi="Times New Roman" w:cs="Times New Roman"/>
          <w:b/>
          <w:bCs/>
        </w:rPr>
        <w:t>與</w:t>
      </w:r>
      <w:r w:rsidRPr="00D10263">
        <w:rPr>
          <w:rFonts w:ascii="Times New Roman" w:eastAsiaTheme="minorEastAsia" w:hAnsi="Times New Roman" w:cs="Times New Roman"/>
          <w:b/>
          <w:bCs/>
        </w:rPr>
        <w:t>IFE</w:t>
      </w:r>
      <w:r w:rsidRPr="00D10263">
        <w:rPr>
          <w:rFonts w:ascii="Times New Roman" w:eastAsiaTheme="minorEastAsia" w:hAnsi="Times New Roman" w:cs="Times New Roman"/>
          <w:b/>
          <w:bCs/>
        </w:rPr>
        <w:t>（或是</w:t>
      </w:r>
      <w:r w:rsidRPr="00D10263">
        <w:rPr>
          <w:rFonts w:ascii="Times New Roman" w:eastAsiaTheme="minorEastAsia" w:hAnsi="Times New Roman" w:cs="Times New Roman"/>
          <w:b/>
          <w:bCs/>
        </w:rPr>
        <w:t>UIRP</w:t>
      </w:r>
      <w:r w:rsidRPr="00D10263">
        <w:rPr>
          <w:rFonts w:ascii="Times New Roman" w:eastAsiaTheme="minorEastAsia" w:hAnsi="Times New Roman" w:cs="Times New Roman"/>
          <w:b/>
          <w:bCs/>
        </w:rPr>
        <w:t>）的圖示，也就是</w:t>
      </w:r>
      <w:r w:rsidRPr="00D10263">
        <w:rPr>
          <w:rFonts w:ascii="Times New Roman" w:eastAsiaTheme="minorEastAsia" w:hAnsi="Times New Roman" w:cs="Times New Roman"/>
          <w:b/>
          <w:bCs/>
        </w:rPr>
        <w:t>Y</w:t>
      </w:r>
      <w:r w:rsidRPr="00D10263">
        <w:rPr>
          <w:rFonts w:ascii="Times New Roman" w:eastAsiaTheme="minorEastAsia" w:hAnsi="Times New Roman" w:cs="Times New Roman"/>
          <w:b/>
          <w:bCs/>
        </w:rPr>
        <w:t>軸是匯率變動率、</w:t>
      </w:r>
      <w:r w:rsidRPr="00D10263">
        <w:rPr>
          <w:rFonts w:ascii="Times New Roman" w:eastAsiaTheme="minorEastAsia" w:hAnsi="Times New Roman" w:cs="Times New Roman"/>
          <w:b/>
          <w:bCs/>
        </w:rPr>
        <w:t>X</w:t>
      </w:r>
      <w:r w:rsidRPr="00D10263">
        <w:rPr>
          <w:rFonts w:ascii="Times New Roman" w:eastAsiaTheme="minorEastAsia" w:hAnsi="Times New Roman" w:cs="Times New Roman"/>
          <w:b/>
          <w:bCs/>
        </w:rPr>
        <w:t>軸是兩國通膨率或是利率的差距（請用精確的公式，而非只是相減），並利用迴歸分析去檢驗虛無假設：</w:t>
      </w:r>
      <w:r w:rsidR="00570DEB" w:rsidRPr="00D10263">
        <w:rPr>
          <w:rFonts w:ascii="Times New Roman" w:eastAsiaTheme="minorEastAsia" w:hAnsi="Times New Roman" w:cs="Times New Roman"/>
          <w:b/>
          <w:bCs/>
        </w:rPr>
        <w:t>截距為</w:t>
      </w:r>
      <w:r w:rsidR="00570DEB" w:rsidRPr="00D10263">
        <w:rPr>
          <w:rFonts w:ascii="Times New Roman" w:eastAsiaTheme="minorEastAsia" w:hAnsi="Times New Roman" w:cs="Times New Roman"/>
          <w:b/>
          <w:bCs/>
        </w:rPr>
        <w:t>0</w:t>
      </w:r>
      <w:r w:rsidR="00570DEB" w:rsidRPr="00D10263">
        <w:rPr>
          <w:rFonts w:ascii="Times New Roman" w:eastAsiaTheme="minorEastAsia" w:hAnsi="Times New Roman" w:cs="Times New Roman"/>
          <w:b/>
          <w:bCs/>
        </w:rPr>
        <w:t>與斜率為</w:t>
      </w:r>
      <w:r w:rsidR="00570DEB" w:rsidRPr="00D10263">
        <w:rPr>
          <w:rFonts w:ascii="Times New Roman" w:eastAsiaTheme="minorEastAsia" w:hAnsi="Times New Roman" w:cs="Times New Roman"/>
          <w:b/>
          <w:bCs/>
        </w:rPr>
        <w:t>1</w:t>
      </w:r>
      <w:r w:rsidR="00570DEB" w:rsidRPr="00D10263">
        <w:rPr>
          <w:rFonts w:ascii="Times New Roman" w:eastAsiaTheme="minorEastAsia" w:hAnsi="Times New Roman" w:cs="Times New Roman"/>
          <w:b/>
          <w:bCs/>
        </w:rPr>
        <w:t>的檢定。說明實證結果與理論的差異，以及可能造成原因。</w:t>
      </w:r>
    </w:p>
    <w:p w14:paraId="7359C311" w14:textId="4FDCF421" w:rsidR="007C1BBF" w:rsidRPr="007C1BBF" w:rsidRDefault="006D23C1" w:rsidP="003D13BB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蒐集</w:t>
      </w:r>
      <w:r w:rsidRPr="007C1BBF">
        <w:rPr>
          <w:rFonts w:ascii="Times New Roman" w:eastAsiaTheme="minorEastAsia" w:hAnsi="Times New Roman" w:cs="Times New Roman"/>
        </w:rPr>
        <w:t>20</w:t>
      </w:r>
      <w:r w:rsidRPr="007C1BBF">
        <w:rPr>
          <w:rFonts w:ascii="Times New Roman" w:eastAsiaTheme="minorEastAsia" w:hAnsi="Times New Roman" w:cs="Times New Roman"/>
        </w:rPr>
        <w:t>21</w:t>
      </w:r>
      <w:r w:rsidRPr="007C1BBF">
        <w:rPr>
          <w:rFonts w:ascii="Times New Roman" w:eastAsiaTheme="minorEastAsia" w:hAnsi="Times New Roman" w:cs="Times New Roman"/>
        </w:rPr>
        <w:t>/0</w:t>
      </w:r>
      <w:r w:rsidRPr="007C1BBF">
        <w:rPr>
          <w:rFonts w:ascii="Times New Roman" w:eastAsiaTheme="minorEastAsia" w:hAnsi="Times New Roman" w:cs="Times New Roman"/>
        </w:rPr>
        <w:t>1</w:t>
      </w:r>
      <w:r w:rsidRPr="007C1BBF">
        <w:rPr>
          <w:rFonts w:ascii="Times New Roman" w:eastAsiaTheme="minorEastAsia" w:hAnsi="Times New Roman" w:cs="Times New Roman"/>
        </w:rPr>
        <w:t>至</w:t>
      </w:r>
      <w:r w:rsidRPr="007C1BBF">
        <w:rPr>
          <w:rFonts w:ascii="Times New Roman" w:eastAsiaTheme="minorEastAsia" w:hAnsi="Times New Roman" w:cs="Times New Roman"/>
        </w:rPr>
        <w:t>20</w:t>
      </w:r>
      <w:r w:rsidRPr="007C1BBF">
        <w:rPr>
          <w:rFonts w:ascii="Times New Roman" w:eastAsiaTheme="minorEastAsia" w:hAnsi="Times New Roman" w:cs="Times New Roman"/>
        </w:rPr>
        <w:t>23</w:t>
      </w:r>
      <w:r w:rsidRPr="007C1BBF">
        <w:rPr>
          <w:rFonts w:ascii="Times New Roman" w:eastAsiaTheme="minorEastAsia" w:hAnsi="Times New Roman" w:cs="Times New Roman"/>
        </w:rPr>
        <w:t>/03</w:t>
      </w:r>
      <w:r w:rsidRPr="007C1BBF">
        <w:rPr>
          <w:rFonts w:ascii="Times New Roman" w:eastAsiaTheme="minorEastAsia" w:hAnsi="Times New Roman" w:cs="Times New Roman"/>
        </w:rPr>
        <w:t>美國與台灣</w:t>
      </w:r>
      <w:r w:rsidRPr="007C1BBF">
        <w:rPr>
          <w:rFonts w:ascii="Times New Roman" w:eastAsiaTheme="minorEastAsia" w:hAnsi="Times New Roman" w:cs="Times New Roman"/>
        </w:rPr>
        <w:t>過去的匯率與通膨率的月資料</w:t>
      </w:r>
      <w:r w:rsidRPr="007C1BBF">
        <w:rPr>
          <w:rFonts w:ascii="Times New Roman" w:eastAsiaTheme="minorEastAsia" w:hAnsi="Times New Roman" w:cs="Times New Roman"/>
        </w:rPr>
        <w:t>2</w:t>
      </w:r>
      <w:r w:rsidR="00CD0DD7">
        <w:rPr>
          <w:rFonts w:ascii="Times New Roman" w:eastAsiaTheme="minorEastAsia" w:hAnsi="Times New Roman" w:cs="Times New Roman"/>
        </w:rPr>
        <w:t>6</w:t>
      </w:r>
      <w:r w:rsidRPr="007C1BBF">
        <w:rPr>
          <w:rFonts w:ascii="Times New Roman" w:eastAsiaTheme="minorEastAsia" w:hAnsi="Times New Roman" w:cs="Times New Roman"/>
        </w:rPr>
        <w:t>筆</w:t>
      </w:r>
      <w:r w:rsidRPr="007C1BBF">
        <w:rPr>
          <w:rFonts w:ascii="Times New Roman" w:eastAsiaTheme="minorEastAsia" w:hAnsi="Times New Roman" w:cs="Times New Roman"/>
        </w:rPr>
        <w:t>，用美元台幣的匯率變動率和兩國通貨膨脹率的差距繪製出下圖：</w:t>
      </w:r>
    </w:p>
    <w:p w14:paraId="644DD152" w14:textId="16D8B936" w:rsidR="007C1BBF" w:rsidRPr="007C1BBF" w:rsidRDefault="007C1BBF" w:rsidP="003D13BB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/>
        </w:rPr>
      </w:pPr>
      <w:r w:rsidRPr="007C1BBF">
        <w:rPr>
          <w:rFonts w:ascii="Times New Roman" w:hAnsi="Times New Roman" w:cs="Times New Roman"/>
          <w:shd w:val="clear" w:color="auto" w:fill="DEEAF6" w:themeFill="accent5" w:themeFillTint="33"/>
        </w:rPr>
        <w:t>PPP</w:t>
      </w:r>
      <w:r w:rsidRPr="007C1BBF">
        <w:rPr>
          <w:rFonts w:ascii="Times New Roman" w:hAnsi="Times New Roman" w:cs="Times New Roman"/>
          <w:shd w:val="clear" w:color="auto" w:fill="DEEAF6" w:themeFill="accent5" w:themeFillTint="33"/>
        </w:rPr>
        <w:t>圖</w:t>
      </w:r>
    </w:p>
    <w:p w14:paraId="56C5B698" w14:textId="5D57D4A7" w:rsidR="007C1BBF" w:rsidRPr="007C1BBF" w:rsidRDefault="007C1BBF" w:rsidP="00570DEB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7C1BBF">
        <w:rPr>
          <w:rFonts w:ascii="Times New Roman" w:hAnsi="Times New Roman" w:cs="Times New Roman"/>
          <w:noProof/>
        </w:rPr>
        <w:drawing>
          <wp:inline distT="0" distB="0" distL="0" distR="0" wp14:anchorId="0D85F3B9" wp14:editId="3939E070">
            <wp:extent cx="4809994" cy="2517731"/>
            <wp:effectExtent l="0" t="0" r="16510" b="10160"/>
            <wp:docPr id="1797525484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6910C7C2-C364-A078-8082-8614794BF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4455F1" w14:textId="400F2E10" w:rsidR="00F122B4" w:rsidRPr="007C1BBF" w:rsidRDefault="0015088E" w:rsidP="003D13BB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  <w:shd w:val="clear" w:color="auto" w:fill="DEEAF6" w:themeFill="accent5" w:themeFillTint="33"/>
        </w:rPr>
      </w:pPr>
      <w:r w:rsidRPr="007C1BBF">
        <w:rPr>
          <w:rFonts w:ascii="Times New Roman" w:eastAsiaTheme="minorEastAsia" w:hAnsi="Times New Roman" w:cs="Times New Roman"/>
          <w:shd w:val="clear" w:color="auto" w:fill="DEEAF6" w:themeFill="accent5" w:themeFillTint="33"/>
        </w:rPr>
        <w:t>迴歸分析</w:t>
      </w:r>
    </w:p>
    <w:p w14:paraId="5988B159" w14:textId="4CB21325" w:rsidR="007C1BBF" w:rsidRPr="007C1BBF" w:rsidRDefault="007C1BBF" w:rsidP="00570DEB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drawing>
          <wp:inline distT="0" distB="0" distL="0" distR="0" wp14:anchorId="66955066" wp14:editId="680CD785">
            <wp:extent cx="5156200" cy="574004"/>
            <wp:effectExtent l="0" t="0" r="0" b="0"/>
            <wp:docPr id="17105451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451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5271" cy="5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CE197" w14:textId="05313B8F" w:rsidR="00F122B4" w:rsidRPr="007C1BBF" w:rsidRDefault="006D23C1" w:rsidP="00570DEB">
      <w:pPr>
        <w:pStyle w:val="a4"/>
        <w:ind w:leftChars="0" w:left="360"/>
        <w:rPr>
          <w:rFonts w:ascii="Times New Roman" w:eastAsiaTheme="minorEastAsia" w:hAnsi="Times New Roman" w:cs="Times New Roman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:  β=1,α=0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:  β≠1,α≠0</m:t>
                </m:r>
              </m:e>
            </m:mr>
          </m:m>
        </m:oMath>
      </m:oMathPara>
    </w:p>
    <w:p w14:paraId="067A88C9" w14:textId="229E9925" w:rsidR="00F122B4" w:rsidRPr="00C75EF5" w:rsidRDefault="00F122B4" w:rsidP="00C75EF5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a</w:t>
      </w:r>
      <w:r w:rsidR="00333DE1" w:rsidRPr="007C1BBF">
        <w:rPr>
          <w:rFonts w:ascii="Times New Roman" w:eastAsiaTheme="minorEastAsia" w:hAnsi="Times New Roman" w:cs="Times New Roman"/>
        </w:rPr>
        <w:t xml:space="preserve"> </w:t>
      </w:r>
      <w:r w:rsidRPr="007C1BBF">
        <w:rPr>
          <w:rFonts w:ascii="Times New Roman" w:eastAsiaTheme="minorEastAsia" w:hAnsi="Times New Roman" w:cs="Times New Roman"/>
        </w:rPr>
        <w:t>=</w:t>
      </w:r>
      <w:r w:rsidR="00333DE1" w:rsidRPr="007C1BBF">
        <w:rPr>
          <w:rFonts w:ascii="Times New Roman" w:eastAsiaTheme="minorEastAsia" w:hAnsi="Times New Roman" w:cs="Times New Roman"/>
        </w:rPr>
        <w:t xml:space="preserve"> </w:t>
      </w:r>
      <w:r w:rsidR="006D23C1" w:rsidRPr="007C1BBF">
        <w:rPr>
          <w:rFonts w:ascii="Times New Roman" w:eastAsiaTheme="minorEastAsia" w:hAnsi="Times New Roman" w:cs="Times New Roman"/>
        </w:rPr>
        <w:t>0.002255</w:t>
      </w:r>
      <w:r w:rsidR="00C75EF5">
        <w:rPr>
          <w:rFonts w:ascii="Times New Roman" w:eastAsiaTheme="minorEastAsia" w:hAnsi="Times New Roman" w:cs="Times New Roman"/>
        </w:rPr>
        <w:t xml:space="preserve">, </w:t>
      </w:r>
      <w:r w:rsidRPr="00C75EF5">
        <w:rPr>
          <w:rFonts w:ascii="Times New Roman" w:eastAsiaTheme="minorEastAsia" w:hAnsi="Times New Roman" w:cs="Times New Roman"/>
        </w:rPr>
        <w:t>b</w:t>
      </w:r>
      <w:r w:rsidR="00333DE1" w:rsidRPr="00C75EF5">
        <w:rPr>
          <w:rFonts w:ascii="Times New Roman" w:eastAsiaTheme="minorEastAsia" w:hAnsi="Times New Roman" w:cs="Times New Roman"/>
        </w:rPr>
        <w:t xml:space="preserve"> </w:t>
      </w:r>
      <w:r w:rsidRPr="00C75EF5">
        <w:rPr>
          <w:rFonts w:ascii="Times New Roman" w:eastAsiaTheme="minorEastAsia" w:hAnsi="Times New Roman" w:cs="Times New Roman"/>
        </w:rPr>
        <w:t>=</w:t>
      </w:r>
      <w:r w:rsidR="00333DE1" w:rsidRPr="00C75EF5">
        <w:rPr>
          <w:rFonts w:ascii="Times New Roman" w:eastAsiaTheme="minorEastAsia" w:hAnsi="Times New Roman" w:cs="Times New Roman"/>
        </w:rPr>
        <w:t xml:space="preserve"> </w:t>
      </w:r>
      <w:r w:rsidRPr="00C75EF5">
        <w:rPr>
          <w:rFonts w:ascii="Times New Roman" w:eastAsiaTheme="minorEastAsia" w:hAnsi="Times New Roman" w:cs="Times New Roman"/>
        </w:rPr>
        <w:t>-</w:t>
      </w:r>
      <w:r w:rsidR="006D23C1" w:rsidRPr="00C75EF5">
        <w:rPr>
          <w:rFonts w:ascii="Times New Roman" w:eastAsiaTheme="minorEastAsia" w:hAnsi="Times New Roman" w:cs="Times New Roman"/>
        </w:rPr>
        <w:t>0.181466</w:t>
      </w:r>
    </w:p>
    <w:p w14:paraId="1D5C02A2" w14:textId="77777777" w:rsidR="00333DE1" w:rsidRPr="007C1BBF" w:rsidRDefault="00F122B4" w:rsidP="00333DE1">
      <w:pPr>
        <w:pStyle w:val="a4"/>
        <w:numPr>
          <w:ilvl w:val="0"/>
          <w:numId w:val="3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a</w:t>
      </w:r>
      <w:r w:rsidRPr="007C1BBF">
        <w:rPr>
          <w:rFonts w:ascii="Times New Roman" w:eastAsiaTheme="minorEastAsia" w:hAnsi="Times New Roman" w:cs="Times New Roman"/>
        </w:rPr>
        <w:t>的</w:t>
      </w:r>
      <w:r w:rsidRPr="007C1BBF">
        <w:rPr>
          <w:rFonts w:ascii="Times New Roman" w:eastAsiaTheme="minorEastAsia" w:hAnsi="Times New Roman" w:cs="Times New Roman"/>
        </w:rPr>
        <w:t>p</w:t>
      </w:r>
      <w:r w:rsidRPr="007C1BBF">
        <w:rPr>
          <w:rFonts w:ascii="Times New Roman" w:eastAsiaTheme="minorEastAsia" w:hAnsi="Times New Roman" w:cs="Times New Roman"/>
        </w:rPr>
        <w:t>值為</w:t>
      </w:r>
      <w:r w:rsidR="006D23C1" w:rsidRPr="007C1BBF">
        <w:rPr>
          <w:rFonts w:ascii="Times New Roman" w:eastAsiaTheme="minorEastAsia" w:hAnsi="Times New Roman" w:cs="Times New Roman"/>
        </w:rPr>
        <w:t>0.515654</w:t>
      </w:r>
      <w:r w:rsidRPr="007C1BBF">
        <w:rPr>
          <w:rFonts w:ascii="Times New Roman" w:eastAsiaTheme="minorEastAsia" w:hAnsi="Times New Roman" w:cs="Times New Roman"/>
        </w:rPr>
        <w:t>(&gt;0.05)</w:t>
      </w:r>
      <w:r w:rsidRPr="007C1BBF">
        <w:rPr>
          <w:rFonts w:ascii="Times New Roman" w:eastAsiaTheme="minorEastAsia" w:hAnsi="Times New Roman" w:cs="Times New Roman"/>
        </w:rPr>
        <w:t>，代表母體的截距</w:t>
      </w:r>
      <w:r w:rsidRPr="007C1BBF">
        <w:rPr>
          <w:rFonts w:ascii="Times New Roman" w:eastAsiaTheme="minorEastAsia" w:hAnsi="Times New Roman" w:cs="Times New Roman"/>
        </w:rPr>
        <w:t>alpha=0</w:t>
      </w:r>
      <w:r w:rsidRPr="007C1BBF">
        <w:rPr>
          <w:rFonts w:ascii="Times New Roman" w:eastAsiaTheme="minorEastAsia" w:hAnsi="Times New Roman" w:cs="Times New Roman"/>
        </w:rPr>
        <w:t>沒有被拒絕，也就是</w:t>
      </w:r>
      <w:r w:rsidR="006D23C1" w:rsidRPr="007C1BBF">
        <w:rPr>
          <w:rFonts w:ascii="Times New Roman" w:eastAsiaTheme="minorEastAsia" w:hAnsi="Times New Roman" w:cs="Times New Roman"/>
        </w:rPr>
        <w:t>0.002255</w:t>
      </w:r>
      <w:r w:rsidRPr="007C1BBF">
        <w:rPr>
          <w:rFonts w:ascii="Times New Roman" w:eastAsiaTheme="minorEastAsia" w:hAnsi="Times New Roman" w:cs="Times New Roman"/>
        </w:rPr>
        <w:t>與</w:t>
      </w:r>
      <w:r w:rsidRPr="007C1BBF">
        <w:rPr>
          <w:rFonts w:ascii="Times New Roman" w:eastAsiaTheme="minorEastAsia" w:hAnsi="Times New Roman" w:cs="Times New Roman"/>
        </w:rPr>
        <w:t>0</w:t>
      </w:r>
      <w:r w:rsidRPr="007C1BBF">
        <w:rPr>
          <w:rFonts w:ascii="Times New Roman" w:eastAsiaTheme="minorEastAsia" w:hAnsi="Times New Roman" w:cs="Times New Roman"/>
        </w:rPr>
        <w:t>沒有不同。</w:t>
      </w:r>
    </w:p>
    <w:p w14:paraId="216FB683" w14:textId="77777777" w:rsidR="00333DE1" w:rsidRPr="007C1BBF" w:rsidRDefault="00F122B4" w:rsidP="00333DE1">
      <w:pPr>
        <w:pStyle w:val="a4"/>
        <w:numPr>
          <w:ilvl w:val="0"/>
          <w:numId w:val="3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b</w:t>
      </w:r>
      <w:r w:rsidRPr="007C1BBF">
        <w:rPr>
          <w:rFonts w:ascii="Times New Roman" w:eastAsiaTheme="minorEastAsia" w:hAnsi="Times New Roman" w:cs="Times New Roman"/>
        </w:rPr>
        <w:t>的</w:t>
      </w:r>
      <w:r w:rsidRPr="007C1BBF">
        <w:rPr>
          <w:rFonts w:ascii="Times New Roman" w:eastAsiaTheme="minorEastAsia" w:hAnsi="Times New Roman" w:cs="Times New Roman"/>
        </w:rPr>
        <w:t>p</w:t>
      </w:r>
      <w:r w:rsidRPr="007C1BBF">
        <w:rPr>
          <w:rFonts w:ascii="Times New Roman" w:eastAsiaTheme="minorEastAsia" w:hAnsi="Times New Roman" w:cs="Times New Roman"/>
        </w:rPr>
        <w:t>值為</w:t>
      </w:r>
      <w:r w:rsidR="006D23C1" w:rsidRPr="007C1BBF">
        <w:rPr>
          <w:rFonts w:ascii="Times New Roman" w:eastAsiaTheme="minorEastAsia" w:hAnsi="Times New Roman" w:cs="Times New Roman"/>
        </w:rPr>
        <w:t>0.761670</w:t>
      </w:r>
      <w:r w:rsidRPr="007C1BBF">
        <w:rPr>
          <w:rFonts w:ascii="Times New Roman" w:eastAsiaTheme="minorEastAsia" w:hAnsi="Times New Roman" w:cs="Times New Roman"/>
        </w:rPr>
        <w:t>(&gt;0.05)</w:t>
      </w:r>
      <w:r w:rsidRPr="007C1BBF">
        <w:rPr>
          <w:rFonts w:ascii="Times New Roman" w:eastAsiaTheme="minorEastAsia" w:hAnsi="Times New Roman" w:cs="Times New Roman"/>
        </w:rPr>
        <w:t>，代表母體的斜率</w:t>
      </w:r>
      <w:r w:rsidRPr="007C1BBF">
        <w:rPr>
          <w:rFonts w:ascii="Times New Roman" w:eastAsiaTheme="minorEastAsia" w:hAnsi="Times New Roman" w:cs="Times New Roman"/>
        </w:rPr>
        <w:t>beta=0</w:t>
      </w:r>
      <w:r w:rsidRPr="007C1BBF">
        <w:rPr>
          <w:rFonts w:ascii="Times New Roman" w:eastAsiaTheme="minorEastAsia" w:hAnsi="Times New Roman" w:cs="Times New Roman"/>
        </w:rPr>
        <w:t>沒有被拒絕，也就是</w:t>
      </w:r>
      <w:r w:rsidRPr="007C1BBF">
        <w:rPr>
          <w:rFonts w:ascii="Times New Roman" w:eastAsiaTheme="minorEastAsia" w:hAnsi="Times New Roman" w:cs="Times New Roman"/>
        </w:rPr>
        <w:t>-</w:t>
      </w:r>
      <w:r w:rsidR="006D23C1" w:rsidRPr="007C1BBF">
        <w:rPr>
          <w:rFonts w:ascii="Times New Roman" w:eastAsiaTheme="minorEastAsia" w:hAnsi="Times New Roman" w:cs="Times New Roman"/>
        </w:rPr>
        <w:t>0.181466</w:t>
      </w:r>
      <w:r w:rsidRPr="007C1BBF">
        <w:rPr>
          <w:rFonts w:ascii="Times New Roman" w:eastAsiaTheme="minorEastAsia" w:hAnsi="Times New Roman" w:cs="Times New Roman"/>
        </w:rPr>
        <w:t>與</w:t>
      </w:r>
      <w:r w:rsidRPr="007C1BBF">
        <w:rPr>
          <w:rFonts w:ascii="Times New Roman" w:eastAsiaTheme="minorEastAsia" w:hAnsi="Times New Roman" w:cs="Times New Roman"/>
        </w:rPr>
        <w:t>0</w:t>
      </w:r>
      <w:r w:rsidRPr="007C1BBF">
        <w:rPr>
          <w:rFonts w:ascii="Times New Roman" w:eastAsiaTheme="minorEastAsia" w:hAnsi="Times New Roman" w:cs="Times New Roman"/>
        </w:rPr>
        <w:t>斜率沒有不同。</w:t>
      </w:r>
    </w:p>
    <w:p w14:paraId="4ADFD13E" w14:textId="0BE1AB93" w:rsidR="0015088E" w:rsidRPr="007C1BBF" w:rsidRDefault="0015088E" w:rsidP="00333DE1">
      <w:pPr>
        <w:pStyle w:val="a4"/>
        <w:numPr>
          <w:ilvl w:val="0"/>
          <w:numId w:val="3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-0.</m:t>
            </m:r>
            <m:r>
              <w:rPr>
                <w:rFonts w:ascii="Cambria Math" w:eastAsiaTheme="minorEastAsia" w:hAnsi="Cambria Math" w:cs="Times New Roman"/>
              </w:rPr>
              <m:t>181466</m:t>
            </m:r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</w:rPr>
              <m:t>0.591551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-1.</m:t>
            </m:r>
            <m:r>
              <w:rPr>
                <w:rFonts w:ascii="Cambria Math" w:eastAsiaTheme="minorEastAsia" w:hAnsi="Cambria Math" w:cs="Times New Roman"/>
              </w:rPr>
              <m:t>181466</m:t>
            </m:r>
          </m:num>
          <m:den>
            <m:r>
              <w:rPr>
                <w:rFonts w:ascii="Cambria Math" w:eastAsiaTheme="minorEastAsia" w:hAnsi="Cambria Math" w:cs="Times New Roman"/>
              </w:rPr>
              <m:t>0.</m:t>
            </m:r>
            <m: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</w:rPr>
              <m:t>9</m:t>
            </m:r>
            <m:r>
              <w:rPr>
                <w:rFonts w:ascii="Cambria Math" w:eastAsiaTheme="minorEastAsia" w:hAnsi="Cambria Math" w:cs="Times New Roman"/>
              </w:rPr>
              <m:t>1551</m:t>
            </m:r>
          </m:den>
        </m:f>
        <m:r>
          <w:rPr>
            <w:rFonts w:ascii="Cambria Math" w:eastAsiaTheme="minorEastAsia" w:hAnsi="Cambria Math" w:cs="Times New Roman"/>
          </w:rPr>
          <m:t>=-1.</m:t>
        </m:r>
        <m:r>
          <w:rPr>
            <w:rFonts w:ascii="Cambria Math" w:eastAsiaTheme="minorEastAsia" w:hAnsi="Cambria Math" w:cs="Times New Roman"/>
          </w:rPr>
          <m:t>997</m:t>
        </m:r>
      </m:oMath>
      <w:r w:rsidRPr="007C1BBF">
        <w:rPr>
          <w:rFonts w:ascii="Times New Roman" w:eastAsiaTheme="minorEastAsia" w:hAnsi="Times New Roman" w:cs="Times New Roman"/>
        </w:rPr>
        <w:t xml:space="preserve"> </w:t>
      </w:r>
      <w:r w:rsidRPr="007C1BBF">
        <w:rPr>
          <w:rFonts w:ascii="Times New Roman" w:eastAsiaTheme="minorEastAsia" w:hAnsi="Times New Roman" w:cs="Times New Roman"/>
        </w:rPr>
        <w:t>其絕對值</w:t>
      </w:r>
      <w:r w:rsidRPr="007C1BBF">
        <w:rPr>
          <w:rFonts w:ascii="Times New Roman" w:eastAsiaTheme="minorEastAsia" w:hAnsi="Times New Roman" w:cs="Times New Roman"/>
        </w:rPr>
        <w:t>=1.</w:t>
      </w:r>
      <w:r w:rsidR="006D23C1" w:rsidRPr="007C1BBF">
        <w:rPr>
          <w:rFonts w:ascii="Times New Roman" w:eastAsiaTheme="minorEastAsia" w:hAnsi="Times New Roman" w:cs="Times New Roman"/>
        </w:rPr>
        <w:t>997</w:t>
      </w:r>
      <w:r w:rsidRPr="007C1BBF">
        <w:rPr>
          <w:rFonts w:ascii="Times New Roman" w:eastAsiaTheme="minorEastAsia" w:hAnsi="Times New Roman" w:cs="Times New Roman"/>
        </w:rPr>
        <w:t>，經驗法則和</w:t>
      </w:r>
      <w:r w:rsidRPr="007C1BBF">
        <w:rPr>
          <w:rFonts w:ascii="Times New Roman" w:eastAsiaTheme="minorEastAsia" w:hAnsi="Times New Roman" w:cs="Times New Roman"/>
        </w:rPr>
        <w:t>2</w:t>
      </w:r>
      <w:r w:rsidRPr="007C1BBF">
        <w:rPr>
          <w:rFonts w:ascii="Times New Roman" w:eastAsiaTheme="minorEastAsia" w:hAnsi="Times New Roman" w:cs="Times New Roman"/>
        </w:rPr>
        <w:t>比，結論得到的斜率</w:t>
      </w:r>
      <w:r w:rsidRPr="007C1BBF">
        <w:rPr>
          <w:rFonts w:ascii="Times New Roman" w:eastAsiaTheme="minorEastAsia" w:hAnsi="Times New Roman" w:cs="Times New Roman"/>
        </w:rPr>
        <w:t>-0.222051</w:t>
      </w:r>
      <w:r w:rsidRPr="007C1BBF">
        <w:rPr>
          <w:rFonts w:ascii="Times New Roman" w:eastAsiaTheme="minorEastAsia" w:hAnsi="Times New Roman" w:cs="Times New Roman"/>
        </w:rPr>
        <w:t>沒有顯著小於斜率</w:t>
      </w:r>
      <w:r w:rsidRPr="007C1BBF">
        <w:rPr>
          <w:rFonts w:ascii="Times New Roman" w:eastAsiaTheme="minorEastAsia" w:hAnsi="Times New Roman" w:cs="Times New Roman"/>
        </w:rPr>
        <w:t>1</w:t>
      </w:r>
      <w:r w:rsidRPr="007C1BBF">
        <w:rPr>
          <w:rFonts w:ascii="Times New Roman" w:eastAsiaTheme="minorEastAsia" w:hAnsi="Times New Roman" w:cs="Times New Roman"/>
        </w:rPr>
        <w:t>，所以不拒絕</w:t>
      </w:r>
      <w:r w:rsidR="00261903">
        <w:rPr>
          <w:rFonts w:ascii="Times New Roman" w:eastAsiaTheme="minorEastAsia" w:hAnsi="Times New Roman" w:cs="Times New Roman"/>
        </w:rPr>
        <w:t>H</w:t>
      </w:r>
      <w:r w:rsidR="00261903" w:rsidRPr="00261903">
        <w:rPr>
          <w:rFonts w:ascii="Times New Roman" w:eastAsiaTheme="minorEastAsia" w:hAnsi="Times New Roman" w:cs="Times New Roman"/>
          <w:vertAlign w:val="subscript"/>
        </w:rPr>
        <w:t>0</w:t>
      </w:r>
      <w:r w:rsidR="00333DE1" w:rsidRPr="007C1BBF">
        <w:rPr>
          <w:rFonts w:ascii="Times New Roman" w:eastAsiaTheme="minorEastAsia" w:hAnsi="Times New Roman" w:cs="Times New Roman"/>
        </w:rPr>
        <w:t>，</w:t>
      </w:r>
      <w:r w:rsidR="00333DE1" w:rsidRPr="007C1BBF">
        <w:rPr>
          <w:rFonts w:ascii="Times New Roman" w:eastAsiaTheme="minorEastAsia" w:hAnsi="Times New Roman" w:cs="Times New Roman"/>
        </w:rPr>
        <w:t>PPP</w:t>
      </w:r>
      <w:r w:rsidR="00333DE1" w:rsidRPr="007C1BBF">
        <w:rPr>
          <w:rFonts w:ascii="Times New Roman" w:eastAsiaTheme="minorEastAsia" w:hAnsi="Times New Roman" w:cs="Times New Roman"/>
        </w:rPr>
        <w:t>成立</w:t>
      </w:r>
      <w:r w:rsidRPr="007C1BBF">
        <w:rPr>
          <w:rFonts w:ascii="Times New Roman" w:eastAsiaTheme="minorEastAsia" w:hAnsi="Times New Roman" w:cs="Times New Roman"/>
        </w:rPr>
        <w:t>。</w:t>
      </w:r>
    </w:p>
    <w:p w14:paraId="17707724" w14:textId="77777777" w:rsidR="00C75EF5" w:rsidRDefault="00C75EF5" w:rsidP="00EC01B2">
      <w:pPr>
        <w:spacing w:beforeLines="50" w:before="180"/>
        <w:ind w:left="360"/>
        <w:rPr>
          <w:rFonts w:ascii="Times New Roman" w:eastAsiaTheme="minorEastAsia" w:hAnsi="Times New Roman" w:cs="Times New Roman"/>
          <w:shd w:val="clear" w:color="auto" w:fill="DEEAF6" w:themeFill="accent5" w:themeFillTint="33"/>
        </w:rPr>
      </w:pPr>
    </w:p>
    <w:p w14:paraId="5D88844A" w14:textId="3965F4E3" w:rsidR="00EC01B2" w:rsidRPr="00EC01B2" w:rsidRDefault="00EC01B2" w:rsidP="00EC01B2">
      <w:pPr>
        <w:spacing w:beforeLines="50" w:before="180"/>
        <w:ind w:left="360"/>
        <w:rPr>
          <w:rFonts w:ascii="Times New Roman" w:eastAsiaTheme="minorEastAsia" w:hAnsi="Times New Roman" w:cs="Times New Roman" w:hint="eastAsia"/>
          <w:shd w:val="clear" w:color="auto" w:fill="DEEAF6" w:themeFill="accent5" w:themeFillTint="33"/>
        </w:rPr>
      </w:pPr>
      <w:r>
        <w:rPr>
          <w:rFonts w:ascii="Times New Roman" w:eastAsiaTheme="minorEastAsia" w:hAnsi="Times New Roman" w:cs="Times New Roman" w:hint="eastAsia"/>
          <w:shd w:val="clear" w:color="auto" w:fill="DEEAF6" w:themeFill="accent5" w:themeFillTint="33"/>
        </w:rPr>
        <w:lastRenderedPageBreak/>
        <w:t>說明</w:t>
      </w:r>
    </w:p>
    <w:p w14:paraId="402C8D36" w14:textId="1B4D7BCE" w:rsidR="00EC01B2" w:rsidRDefault="00DA28B4" w:rsidP="007C1BBF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DA28B4">
        <w:rPr>
          <w:rFonts w:ascii="Times New Roman" w:eastAsiaTheme="minorEastAsia" w:hAnsi="Times New Roman" w:cs="Times New Roman"/>
        </w:rPr>
        <w:t>PPP</w:t>
      </w:r>
      <w:r w:rsidRPr="00DA28B4">
        <w:rPr>
          <w:rFonts w:ascii="Times New Roman" w:eastAsiaTheme="minorEastAsia" w:hAnsi="Times New Roman" w:cs="Times New Roman"/>
        </w:rPr>
        <w:t>（購買力平價）是一個用來描述各個國家之間貨幣的購買力的經濟理論。假設國際貿易之間不存在交易成本，而且市場型態為完全競爭市場，這時，所有國家之間相同商品的價值應該相同，也可以說是各國之間的貨幣必須具有相同的購買力。</w:t>
      </w:r>
    </w:p>
    <w:p w14:paraId="50CDB720" w14:textId="47389D23" w:rsidR="00DA28B4" w:rsidRDefault="00DA28B4" w:rsidP="00002D98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根據蒐集的資料實際驗證的結果顯示：</w:t>
      </w:r>
      <w:r w:rsidRPr="007C1BBF">
        <w:rPr>
          <w:rFonts w:ascii="Times New Roman" w:eastAsiaTheme="minorEastAsia" w:hAnsi="Times New Roman" w:cs="Times New Roman"/>
        </w:rPr>
        <w:t>美國與台灣</w:t>
      </w:r>
      <w:r>
        <w:rPr>
          <w:rFonts w:ascii="Times New Roman" w:eastAsiaTheme="minorEastAsia" w:hAnsi="Times New Roman" w:cs="Times New Roman" w:hint="eastAsia"/>
        </w:rPr>
        <w:t>在過去二年</w:t>
      </w:r>
      <w:r w:rsidR="00C75EF5">
        <w:rPr>
          <w:rFonts w:ascii="Times New Roman" w:eastAsiaTheme="minorEastAsia" w:hAnsi="Times New Roman" w:cs="Times New Roman" w:hint="eastAsia"/>
        </w:rPr>
        <w:t>的</w:t>
      </w:r>
      <w:r w:rsidR="00C75EF5">
        <w:rPr>
          <w:rFonts w:ascii="Times New Roman" w:eastAsiaTheme="minorEastAsia" w:hAnsi="Times New Roman" w:cs="Times New Roman"/>
        </w:rPr>
        <w:t>PPP</w:t>
      </w:r>
      <w:r>
        <w:rPr>
          <w:rFonts w:ascii="Times New Roman" w:eastAsiaTheme="minorEastAsia" w:hAnsi="Times New Roman" w:cs="Times New Roman" w:hint="eastAsia"/>
        </w:rPr>
        <w:t>成立，也就是說，美元與台幣在這段期間</w:t>
      </w:r>
      <w:r w:rsidRPr="00DA28B4">
        <w:rPr>
          <w:rFonts w:ascii="Times New Roman" w:eastAsiaTheme="minorEastAsia" w:hAnsi="Times New Roman" w:cs="Times New Roman"/>
        </w:rPr>
        <w:t>具有相同的購買力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0699876E" w14:textId="77777777" w:rsidR="00EC01B2" w:rsidRPr="00DA28B4" w:rsidRDefault="00EC01B2" w:rsidP="007C1BBF">
      <w:pPr>
        <w:pStyle w:val="a4"/>
        <w:ind w:leftChars="0" w:left="360"/>
        <w:rPr>
          <w:rFonts w:ascii="Times New Roman" w:eastAsiaTheme="minorEastAsia" w:hAnsi="Times New Roman" w:cs="Times New Roman"/>
        </w:rPr>
      </w:pPr>
    </w:p>
    <w:p w14:paraId="7653FFB1" w14:textId="77777777" w:rsidR="00EC01B2" w:rsidRDefault="00EC01B2" w:rsidP="00DA28B4">
      <w:pPr>
        <w:rPr>
          <w:rFonts w:ascii="Times New Roman" w:eastAsiaTheme="minorEastAsia" w:hAnsi="Times New Roman" w:cs="Times New Roman"/>
        </w:rPr>
      </w:pPr>
    </w:p>
    <w:p w14:paraId="3D7665CB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6A29FAF9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528F992C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539C6878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3E9027FD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2B356589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1AE901B9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5EBDEE0C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4AD21756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4832F1A1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0F1D785D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1154F822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75547982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0D272E73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7C00BF90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022A8153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00C4A14C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6B5FD751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25B19C84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6535D3D9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57B38840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27B6E961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14485996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702F72F9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1F3ED124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79A17636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4D54D6CD" w14:textId="77777777" w:rsidR="00DA28B4" w:rsidRDefault="00DA28B4" w:rsidP="00DA28B4">
      <w:pPr>
        <w:rPr>
          <w:rFonts w:ascii="Times New Roman" w:eastAsiaTheme="minorEastAsia" w:hAnsi="Times New Roman" w:cs="Times New Roman"/>
        </w:rPr>
      </w:pPr>
    </w:p>
    <w:p w14:paraId="7785E3F6" w14:textId="77777777" w:rsidR="00DA28B4" w:rsidRPr="00DA28B4" w:rsidRDefault="00DA28B4" w:rsidP="00DA28B4">
      <w:pPr>
        <w:rPr>
          <w:rFonts w:ascii="Times New Roman" w:eastAsiaTheme="minorEastAsia" w:hAnsi="Times New Roman" w:cs="Times New Roman" w:hint="eastAsia"/>
        </w:rPr>
      </w:pPr>
    </w:p>
    <w:p w14:paraId="5E24E9C7" w14:textId="31F3F03C" w:rsidR="007C1BBF" w:rsidRPr="007C1BBF" w:rsidRDefault="007C1BBF" w:rsidP="007C1BBF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lastRenderedPageBreak/>
        <w:t>蒐集</w:t>
      </w:r>
      <w:r w:rsidRPr="007C1BBF">
        <w:rPr>
          <w:rFonts w:ascii="Times New Roman" w:eastAsiaTheme="minorEastAsia" w:hAnsi="Times New Roman" w:cs="Times New Roman"/>
        </w:rPr>
        <w:t>2021/01</w:t>
      </w:r>
      <w:r w:rsidRPr="007C1BBF">
        <w:rPr>
          <w:rFonts w:ascii="Times New Roman" w:eastAsiaTheme="minorEastAsia" w:hAnsi="Times New Roman" w:cs="Times New Roman"/>
        </w:rPr>
        <w:t>至</w:t>
      </w:r>
      <w:r w:rsidRPr="007C1BBF">
        <w:rPr>
          <w:rFonts w:ascii="Times New Roman" w:eastAsiaTheme="minorEastAsia" w:hAnsi="Times New Roman" w:cs="Times New Roman"/>
        </w:rPr>
        <w:t>2023/03</w:t>
      </w:r>
      <w:r w:rsidRPr="007C1BBF">
        <w:rPr>
          <w:rFonts w:ascii="Times New Roman" w:eastAsiaTheme="minorEastAsia" w:hAnsi="Times New Roman" w:cs="Times New Roman"/>
        </w:rPr>
        <w:t>美國與台灣過去的</w:t>
      </w:r>
      <w:r>
        <w:rPr>
          <w:rFonts w:ascii="Times New Roman" w:eastAsiaTheme="minorEastAsia" w:hAnsi="Times New Roman" w:cs="Times New Roman" w:hint="eastAsia"/>
        </w:rPr>
        <w:t>匯</w:t>
      </w:r>
      <w:r w:rsidRPr="007C1BBF">
        <w:rPr>
          <w:rFonts w:ascii="Times New Roman" w:eastAsiaTheme="minorEastAsia" w:hAnsi="Times New Roman" w:cs="Times New Roman"/>
        </w:rPr>
        <w:t>率與</w:t>
      </w:r>
      <w:r>
        <w:rPr>
          <w:rFonts w:ascii="Times New Roman" w:eastAsiaTheme="minorEastAsia" w:hAnsi="Times New Roman" w:cs="Times New Roman" w:hint="eastAsia"/>
        </w:rPr>
        <w:t>利</w:t>
      </w:r>
      <w:r w:rsidRPr="007C1BBF">
        <w:rPr>
          <w:rFonts w:ascii="Times New Roman" w:eastAsiaTheme="minorEastAsia" w:hAnsi="Times New Roman" w:cs="Times New Roman"/>
        </w:rPr>
        <w:t>率的月資料</w:t>
      </w:r>
      <w:r w:rsidRPr="007C1BBF">
        <w:rPr>
          <w:rFonts w:ascii="Times New Roman" w:eastAsiaTheme="minorEastAsia" w:hAnsi="Times New Roman" w:cs="Times New Roman"/>
        </w:rPr>
        <w:t>2</w:t>
      </w:r>
      <w:r w:rsidR="00CD0DD7">
        <w:rPr>
          <w:rFonts w:ascii="Times New Roman" w:eastAsiaTheme="minorEastAsia" w:hAnsi="Times New Roman" w:cs="Times New Roman"/>
        </w:rPr>
        <w:t>6</w:t>
      </w:r>
      <w:r w:rsidRPr="007C1BBF">
        <w:rPr>
          <w:rFonts w:ascii="Times New Roman" w:eastAsiaTheme="minorEastAsia" w:hAnsi="Times New Roman" w:cs="Times New Roman"/>
        </w:rPr>
        <w:t>筆，用美元台幣的匯率變動率和兩國</w:t>
      </w:r>
      <w:r>
        <w:rPr>
          <w:rFonts w:ascii="Times New Roman" w:eastAsiaTheme="minorEastAsia" w:hAnsi="Times New Roman" w:cs="Times New Roman" w:hint="eastAsia"/>
        </w:rPr>
        <w:t>利</w:t>
      </w:r>
      <w:r w:rsidRPr="007C1BBF">
        <w:rPr>
          <w:rFonts w:ascii="Times New Roman" w:eastAsiaTheme="minorEastAsia" w:hAnsi="Times New Roman" w:cs="Times New Roman"/>
        </w:rPr>
        <w:t>率的差距繪製出下圖：</w:t>
      </w:r>
    </w:p>
    <w:p w14:paraId="6962927F" w14:textId="77777777" w:rsidR="00CD0DD7" w:rsidRDefault="00837D00" w:rsidP="003D13BB">
      <w:pPr>
        <w:pStyle w:val="a4"/>
        <w:spacing w:beforeLines="50" w:before="180"/>
        <w:ind w:leftChars="0" w:left="357"/>
        <w:rPr>
          <w:rFonts w:ascii="Times New Roman" w:hAnsi="Times New Roman" w:cs="Times New Roman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shd w:val="clear" w:color="auto" w:fill="DEEAF6" w:themeFill="accent5" w:themeFillTint="33"/>
        </w:rPr>
        <w:t>IFE</w:t>
      </w:r>
      <w:r w:rsidRPr="007C1BBF">
        <w:rPr>
          <w:rFonts w:ascii="Times New Roman" w:hAnsi="Times New Roman" w:cs="Times New Roman"/>
          <w:shd w:val="clear" w:color="auto" w:fill="DEEAF6" w:themeFill="accent5" w:themeFillTint="33"/>
        </w:rPr>
        <w:t>圖</w:t>
      </w:r>
    </w:p>
    <w:p w14:paraId="6413D7E8" w14:textId="5AD646AF" w:rsidR="007C1BBF" w:rsidRDefault="00CD0DD7" w:rsidP="00CD0DD7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2E8BF2D4" wp14:editId="16662C9A">
            <wp:extent cx="4853354" cy="2497015"/>
            <wp:effectExtent l="0" t="0" r="10795" b="17780"/>
            <wp:docPr id="1271067696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E5081EFD-DA3B-29AF-D6FA-BE1269D0CF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D22CFA" w14:textId="77777777" w:rsidR="00CD0DD7" w:rsidRPr="007C1BBF" w:rsidRDefault="00CD0DD7" w:rsidP="003D13BB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  <w:shd w:val="clear" w:color="auto" w:fill="DEEAF6" w:themeFill="accent5" w:themeFillTint="33"/>
        </w:rPr>
      </w:pPr>
      <w:r w:rsidRPr="007C1BBF">
        <w:rPr>
          <w:rFonts w:ascii="Times New Roman" w:eastAsiaTheme="minorEastAsia" w:hAnsi="Times New Roman" w:cs="Times New Roman"/>
          <w:shd w:val="clear" w:color="auto" w:fill="DEEAF6" w:themeFill="accent5" w:themeFillTint="33"/>
        </w:rPr>
        <w:t>迴歸分析</w:t>
      </w:r>
    </w:p>
    <w:p w14:paraId="400381E4" w14:textId="5BB165D0" w:rsidR="00CD0DD7" w:rsidRDefault="00CD0DD7" w:rsidP="00CD0DD7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CD0DD7">
        <w:rPr>
          <w:rFonts w:ascii="Times New Roman" w:eastAsiaTheme="minorEastAsia" w:hAnsi="Times New Roman" w:cs="Times New Roman"/>
        </w:rPr>
        <w:drawing>
          <wp:inline distT="0" distB="0" distL="0" distR="0" wp14:anchorId="3F9BBA73" wp14:editId="2246D05C">
            <wp:extent cx="5139267" cy="599683"/>
            <wp:effectExtent l="0" t="0" r="4445" b="0"/>
            <wp:docPr id="830832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3244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0286" cy="6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1640" w14:textId="77777777" w:rsidR="00CD0DD7" w:rsidRPr="007C1BBF" w:rsidRDefault="00CD0DD7" w:rsidP="00CD0DD7">
      <w:pPr>
        <w:pStyle w:val="a4"/>
        <w:ind w:leftChars="0" w:left="360"/>
        <w:rPr>
          <w:rFonts w:ascii="Times New Roman" w:eastAsiaTheme="minorEastAsia" w:hAnsi="Times New Roman" w:cs="Times New Roman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:  β=1,α=0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:  β≠1,α≠0</m:t>
                </m:r>
              </m:e>
            </m:mr>
          </m:m>
        </m:oMath>
      </m:oMathPara>
    </w:p>
    <w:p w14:paraId="47CD43AF" w14:textId="1914115E" w:rsidR="00CD0DD7" w:rsidRPr="00C75EF5" w:rsidRDefault="00CD0DD7" w:rsidP="00C75EF5">
      <w:pPr>
        <w:pStyle w:val="a4"/>
        <w:ind w:leftChars="0" w:left="36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 xml:space="preserve">a = </w:t>
      </w:r>
      <w:r>
        <w:rPr>
          <w:rFonts w:ascii="Times New Roman" w:eastAsiaTheme="minorEastAsia" w:hAnsi="Times New Roman" w:cs="Times New Roman"/>
        </w:rPr>
        <w:t>0.002687</w:t>
      </w:r>
      <w:r w:rsidR="00C75EF5">
        <w:rPr>
          <w:rFonts w:ascii="Times New Roman" w:eastAsiaTheme="minorEastAsia" w:hAnsi="Times New Roman" w:cs="Times New Roman"/>
        </w:rPr>
        <w:t xml:space="preserve">, </w:t>
      </w:r>
      <w:r w:rsidRPr="00C75EF5">
        <w:rPr>
          <w:rFonts w:ascii="Times New Roman" w:eastAsiaTheme="minorEastAsia" w:hAnsi="Times New Roman" w:cs="Times New Roman"/>
        </w:rPr>
        <w:t>b = 0.000372</w:t>
      </w:r>
    </w:p>
    <w:p w14:paraId="28AA6146" w14:textId="3C067B39" w:rsidR="00CD0DD7" w:rsidRPr="007C1BBF" w:rsidRDefault="00CD0DD7" w:rsidP="00261903">
      <w:pPr>
        <w:pStyle w:val="a4"/>
        <w:numPr>
          <w:ilvl w:val="0"/>
          <w:numId w:val="4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a</w:t>
      </w:r>
      <w:r w:rsidRPr="007C1BBF">
        <w:rPr>
          <w:rFonts w:ascii="Times New Roman" w:eastAsiaTheme="minorEastAsia" w:hAnsi="Times New Roman" w:cs="Times New Roman"/>
        </w:rPr>
        <w:t>的</w:t>
      </w:r>
      <w:r w:rsidRPr="007C1BBF">
        <w:rPr>
          <w:rFonts w:ascii="Times New Roman" w:eastAsiaTheme="minorEastAsia" w:hAnsi="Times New Roman" w:cs="Times New Roman"/>
        </w:rPr>
        <w:t>p</w:t>
      </w:r>
      <w:r w:rsidRPr="007C1BBF">
        <w:rPr>
          <w:rFonts w:ascii="Times New Roman" w:eastAsiaTheme="minorEastAsia" w:hAnsi="Times New Roman" w:cs="Times New Roman"/>
        </w:rPr>
        <w:t>值為</w:t>
      </w:r>
      <w:r w:rsidRPr="007C1BBF">
        <w:rPr>
          <w:rFonts w:ascii="Times New Roman" w:eastAsiaTheme="minorEastAsia" w:hAnsi="Times New Roman" w:cs="Times New Roman"/>
        </w:rPr>
        <w:t>0.</w:t>
      </w:r>
      <w:r>
        <w:rPr>
          <w:rFonts w:ascii="Times New Roman" w:eastAsiaTheme="minorEastAsia" w:hAnsi="Times New Roman" w:cs="Times New Roman"/>
        </w:rPr>
        <w:t>460642</w:t>
      </w:r>
      <w:r w:rsidRPr="007C1BBF">
        <w:rPr>
          <w:rFonts w:ascii="Times New Roman" w:eastAsiaTheme="minorEastAsia" w:hAnsi="Times New Roman" w:cs="Times New Roman"/>
        </w:rPr>
        <w:t>(&gt;0.05)</w:t>
      </w:r>
      <w:r w:rsidRPr="007C1BBF">
        <w:rPr>
          <w:rFonts w:ascii="Times New Roman" w:eastAsiaTheme="minorEastAsia" w:hAnsi="Times New Roman" w:cs="Times New Roman"/>
        </w:rPr>
        <w:t>，代表母體的截距</w:t>
      </w:r>
      <w:r w:rsidRPr="007C1BBF">
        <w:rPr>
          <w:rFonts w:ascii="Times New Roman" w:eastAsiaTheme="minorEastAsia" w:hAnsi="Times New Roman" w:cs="Times New Roman"/>
        </w:rPr>
        <w:t>alpha=0</w:t>
      </w:r>
      <w:r w:rsidRPr="007C1BBF">
        <w:rPr>
          <w:rFonts w:ascii="Times New Roman" w:eastAsiaTheme="minorEastAsia" w:hAnsi="Times New Roman" w:cs="Times New Roman"/>
        </w:rPr>
        <w:t>沒有被拒絕，也就是</w:t>
      </w:r>
      <w:r>
        <w:rPr>
          <w:rFonts w:ascii="Times New Roman" w:eastAsiaTheme="minorEastAsia" w:hAnsi="Times New Roman" w:cs="Times New Roman"/>
        </w:rPr>
        <w:t>0.002687</w:t>
      </w:r>
      <w:r w:rsidRPr="007C1BBF">
        <w:rPr>
          <w:rFonts w:ascii="Times New Roman" w:eastAsiaTheme="minorEastAsia" w:hAnsi="Times New Roman" w:cs="Times New Roman"/>
        </w:rPr>
        <w:t>與</w:t>
      </w:r>
      <w:r w:rsidRPr="007C1BBF">
        <w:rPr>
          <w:rFonts w:ascii="Times New Roman" w:eastAsiaTheme="minorEastAsia" w:hAnsi="Times New Roman" w:cs="Times New Roman"/>
        </w:rPr>
        <w:t>0</w:t>
      </w:r>
      <w:r w:rsidRPr="007C1BBF">
        <w:rPr>
          <w:rFonts w:ascii="Times New Roman" w:eastAsiaTheme="minorEastAsia" w:hAnsi="Times New Roman" w:cs="Times New Roman"/>
        </w:rPr>
        <w:t>沒有不同。</w:t>
      </w:r>
    </w:p>
    <w:p w14:paraId="2B6285F6" w14:textId="361DE18F" w:rsidR="00CD0DD7" w:rsidRPr="007C1BBF" w:rsidRDefault="00CD0DD7" w:rsidP="00261903">
      <w:pPr>
        <w:pStyle w:val="a4"/>
        <w:numPr>
          <w:ilvl w:val="0"/>
          <w:numId w:val="4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>b</w:t>
      </w:r>
      <w:r w:rsidRPr="007C1BBF">
        <w:rPr>
          <w:rFonts w:ascii="Times New Roman" w:eastAsiaTheme="minorEastAsia" w:hAnsi="Times New Roman" w:cs="Times New Roman"/>
        </w:rPr>
        <w:t>的</w:t>
      </w:r>
      <w:r w:rsidRPr="007C1BBF">
        <w:rPr>
          <w:rFonts w:ascii="Times New Roman" w:eastAsiaTheme="minorEastAsia" w:hAnsi="Times New Roman" w:cs="Times New Roman"/>
        </w:rPr>
        <w:t>p</w:t>
      </w:r>
      <w:r w:rsidRPr="007C1BBF">
        <w:rPr>
          <w:rFonts w:ascii="Times New Roman" w:eastAsiaTheme="minorEastAsia" w:hAnsi="Times New Roman" w:cs="Times New Roman"/>
        </w:rPr>
        <w:t>值為</w:t>
      </w:r>
      <w:r w:rsidRPr="007C1BBF">
        <w:rPr>
          <w:rFonts w:ascii="Times New Roman" w:eastAsiaTheme="minorEastAsia" w:hAnsi="Times New Roman" w:cs="Times New Roman"/>
        </w:rPr>
        <w:t>0.</w:t>
      </w:r>
      <w:r>
        <w:rPr>
          <w:rFonts w:ascii="Times New Roman" w:eastAsiaTheme="minorEastAsia" w:hAnsi="Times New Roman" w:cs="Times New Roman"/>
        </w:rPr>
        <w:t>935720</w:t>
      </w:r>
      <w:r w:rsidRPr="007C1BBF">
        <w:rPr>
          <w:rFonts w:ascii="Times New Roman" w:eastAsiaTheme="minorEastAsia" w:hAnsi="Times New Roman" w:cs="Times New Roman"/>
        </w:rPr>
        <w:t>(&gt;0.05)</w:t>
      </w:r>
      <w:r w:rsidRPr="007C1BBF">
        <w:rPr>
          <w:rFonts w:ascii="Times New Roman" w:eastAsiaTheme="minorEastAsia" w:hAnsi="Times New Roman" w:cs="Times New Roman"/>
        </w:rPr>
        <w:t>，代表母體的斜率</w:t>
      </w:r>
      <w:r w:rsidRPr="007C1BBF">
        <w:rPr>
          <w:rFonts w:ascii="Times New Roman" w:eastAsiaTheme="minorEastAsia" w:hAnsi="Times New Roman" w:cs="Times New Roman"/>
        </w:rPr>
        <w:t>beta=0</w:t>
      </w:r>
      <w:r w:rsidRPr="007C1BBF">
        <w:rPr>
          <w:rFonts w:ascii="Times New Roman" w:eastAsiaTheme="minorEastAsia" w:hAnsi="Times New Roman" w:cs="Times New Roman"/>
        </w:rPr>
        <w:t>沒有被拒絕，也就是</w:t>
      </w:r>
      <w:r>
        <w:rPr>
          <w:rFonts w:ascii="Times New Roman" w:eastAsiaTheme="minorEastAsia" w:hAnsi="Times New Roman" w:cs="Times New Roman"/>
        </w:rPr>
        <w:t>0.000372</w:t>
      </w:r>
      <w:r w:rsidRPr="007C1BBF">
        <w:rPr>
          <w:rFonts w:ascii="Times New Roman" w:eastAsiaTheme="minorEastAsia" w:hAnsi="Times New Roman" w:cs="Times New Roman"/>
        </w:rPr>
        <w:t>與</w:t>
      </w:r>
      <w:r w:rsidRPr="007C1BBF">
        <w:rPr>
          <w:rFonts w:ascii="Times New Roman" w:eastAsiaTheme="minorEastAsia" w:hAnsi="Times New Roman" w:cs="Times New Roman"/>
        </w:rPr>
        <w:t>0</w:t>
      </w:r>
      <w:r w:rsidRPr="007C1BBF">
        <w:rPr>
          <w:rFonts w:ascii="Times New Roman" w:eastAsiaTheme="minorEastAsia" w:hAnsi="Times New Roman" w:cs="Times New Roman"/>
        </w:rPr>
        <w:t>斜率沒有不同。</w:t>
      </w:r>
    </w:p>
    <w:p w14:paraId="7DB9E570" w14:textId="00DE86C6" w:rsidR="00CD0DD7" w:rsidRPr="007C1BBF" w:rsidRDefault="00CD0DD7" w:rsidP="00261903">
      <w:pPr>
        <w:pStyle w:val="a4"/>
        <w:numPr>
          <w:ilvl w:val="0"/>
          <w:numId w:val="4"/>
        </w:numPr>
        <w:ind w:leftChars="0"/>
        <w:rPr>
          <w:rFonts w:ascii="Times New Roman" w:eastAsiaTheme="minorEastAsia" w:hAnsi="Times New Roman" w:cs="Times New Roman"/>
        </w:rPr>
      </w:pPr>
      <w:r w:rsidRPr="007C1BBF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0.000372</m:t>
            </m:r>
            <m:r>
              <w:rPr>
                <w:rFonts w:ascii="Cambria Math" w:eastAsiaTheme="minorEastAsia" w:hAnsi="Cambria Math" w:cs="Times New Roman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</w:rPr>
              <m:t>0.</m:t>
            </m:r>
            <m:r>
              <w:rPr>
                <w:rFonts w:ascii="Cambria Math" w:eastAsiaTheme="minorEastAsia" w:hAnsi="Cambria Math" w:cs="Times New Roman"/>
              </w:rPr>
              <m:t>004570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</m:t>
            </m:r>
            <m:r>
              <w:rPr>
                <w:rFonts w:ascii="Cambria Math" w:eastAsiaTheme="minorEastAsia" w:hAnsi="Cambria Math" w:cs="Times New Roman"/>
              </w:rPr>
              <m:t>0.999628</m:t>
            </m:r>
          </m:num>
          <m:den>
            <m:r>
              <w:rPr>
                <w:rFonts w:ascii="Cambria Math" w:eastAsiaTheme="minorEastAsia" w:hAnsi="Cambria Math" w:cs="Times New Roman"/>
              </w:rPr>
              <m:t>0.</m:t>
            </m:r>
            <m:r>
              <w:rPr>
                <w:rFonts w:ascii="Cambria Math" w:eastAsiaTheme="minorEastAsia" w:hAnsi="Cambria Math" w:cs="Times New Roman"/>
              </w:rPr>
              <m:t>004570</m:t>
            </m:r>
          </m:den>
        </m:f>
        <m:r>
          <w:rPr>
            <w:rFonts w:ascii="Cambria Math" w:eastAsiaTheme="minorEastAsia" w:hAnsi="Cambria Math" w:cs="Times New Roman"/>
          </w:rPr>
          <m:t>=-</m:t>
        </m:r>
        <m:r>
          <w:rPr>
            <w:rFonts w:ascii="Cambria Math" w:eastAsiaTheme="minorEastAsia" w:hAnsi="Cambria Math" w:cs="Times New Roman"/>
          </w:rPr>
          <m:t>218.737</m:t>
        </m:r>
      </m:oMath>
      <w:r w:rsidRPr="007C1BBF">
        <w:rPr>
          <w:rFonts w:ascii="Times New Roman" w:eastAsiaTheme="minorEastAsia" w:hAnsi="Times New Roman" w:cs="Times New Roman"/>
        </w:rPr>
        <w:t xml:space="preserve"> </w:t>
      </w:r>
      <w:r w:rsidRPr="007C1BBF">
        <w:rPr>
          <w:rFonts w:ascii="Times New Roman" w:eastAsiaTheme="minorEastAsia" w:hAnsi="Times New Roman" w:cs="Times New Roman"/>
        </w:rPr>
        <w:t>其絕對值</w:t>
      </w:r>
      <w:r w:rsidRPr="007C1BBF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</w:rPr>
        <w:t>218.737</w:t>
      </w:r>
      <w:r w:rsidRPr="007C1BBF">
        <w:rPr>
          <w:rFonts w:ascii="Times New Roman" w:eastAsiaTheme="minorEastAsia" w:hAnsi="Times New Roman" w:cs="Times New Roman"/>
        </w:rPr>
        <w:t>，經驗法則和</w:t>
      </w:r>
      <w:r w:rsidRPr="007C1BBF">
        <w:rPr>
          <w:rFonts w:ascii="Times New Roman" w:eastAsiaTheme="minorEastAsia" w:hAnsi="Times New Roman" w:cs="Times New Roman"/>
        </w:rPr>
        <w:t>2</w:t>
      </w:r>
      <w:r w:rsidRPr="007C1BBF">
        <w:rPr>
          <w:rFonts w:ascii="Times New Roman" w:eastAsiaTheme="minorEastAsia" w:hAnsi="Times New Roman" w:cs="Times New Roman"/>
        </w:rPr>
        <w:t>比，結論得到的斜率</w:t>
      </w:r>
      <w:r>
        <w:rPr>
          <w:rFonts w:ascii="Times New Roman" w:eastAsiaTheme="minorEastAsia" w:hAnsi="Times New Roman" w:cs="Times New Roman"/>
        </w:rPr>
        <w:t>0.000372</w:t>
      </w:r>
      <w:r w:rsidRPr="007C1BBF">
        <w:rPr>
          <w:rFonts w:ascii="Times New Roman" w:eastAsiaTheme="minorEastAsia" w:hAnsi="Times New Roman" w:cs="Times New Roman"/>
        </w:rPr>
        <w:t>顯著小於斜率</w:t>
      </w:r>
      <w:r w:rsidRPr="007C1BBF">
        <w:rPr>
          <w:rFonts w:ascii="Times New Roman" w:eastAsiaTheme="minorEastAsia" w:hAnsi="Times New Roman" w:cs="Times New Roman"/>
        </w:rPr>
        <w:t>1</w:t>
      </w:r>
      <w:r w:rsidRPr="007C1BBF">
        <w:rPr>
          <w:rFonts w:ascii="Times New Roman" w:eastAsiaTheme="minorEastAsia" w:hAnsi="Times New Roman" w:cs="Times New Roman"/>
        </w:rPr>
        <w:t>，所以拒絕</w:t>
      </w:r>
      <w:r w:rsidR="00261903">
        <w:rPr>
          <w:rFonts w:ascii="Times New Roman" w:eastAsiaTheme="minorEastAsia" w:hAnsi="Times New Roman" w:cs="Times New Roman"/>
        </w:rPr>
        <w:t>H</w:t>
      </w:r>
      <w:r w:rsidR="00261903" w:rsidRPr="00261903">
        <w:rPr>
          <w:rFonts w:ascii="Times New Roman" w:eastAsiaTheme="minorEastAsia" w:hAnsi="Times New Roman" w:cs="Times New Roman"/>
          <w:vertAlign w:val="subscript"/>
        </w:rPr>
        <w:t>0</w:t>
      </w:r>
      <w:r w:rsidRPr="007C1BBF">
        <w:rPr>
          <w:rFonts w:ascii="Times New Roman" w:eastAsiaTheme="minorEastAsia" w:hAnsi="Times New Roman" w:cs="Times New Roman"/>
        </w:rPr>
        <w:t>，</w:t>
      </w:r>
      <w:r w:rsidR="00261903">
        <w:rPr>
          <w:rFonts w:ascii="Times New Roman" w:eastAsiaTheme="minorEastAsia" w:hAnsi="Times New Roman" w:cs="Times New Roman"/>
        </w:rPr>
        <w:t>IFE</w:t>
      </w:r>
      <w:r w:rsidR="00261903">
        <w:rPr>
          <w:rFonts w:ascii="Times New Roman" w:eastAsiaTheme="minorEastAsia" w:hAnsi="Times New Roman" w:cs="Times New Roman" w:hint="eastAsia"/>
        </w:rPr>
        <w:t>不</w:t>
      </w:r>
      <w:r w:rsidRPr="007C1BBF">
        <w:rPr>
          <w:rFonts w:ascii="Times New Roman" w:eastAsiaTheme="minorEastAsia" w:hAnsi="Times New Roman" w:cs="Times New Roman"/>
        </w:rPr>
        <w:t>成立。</w:t>
      </w:r>
    </w:p>
    <w:p w14:paraId="188164C5" w14:textId="519386F0" w:rsidR="00CD0DD7" w:rsidRDefault="00DA28B4" w:rsidP="00DA28B4">
      <w:pPr>
        <w:spacing w:beforeLines="50" w:before="180"/>
        <w:ind w:left="360"/>
        <w:rPr>
          <w:rFonts w:ascii="Times New Roman" w:eastAsiaTheme="minorEastAsia" w:hAnsi="Times New Roman" w:cs="Times New Roman"/>
          <w:shd w:val="clear" w:color="auto" w:fill="DEEAF6" w:themeFill="accent5" w:themeFillTint="33"/>
        </w:rPr>
      </w:pPr>
      <w:r w:rsidRPr="00DA28B4">
        <w:rPr>
          <w:rFonts w:ascii="Times New Roman" w:eastAsiaTheme="minorEastAsia" w:hAnsi="Times New Roman" w:cs="Times New Roman" w:hint="eastAsia"/>
          <w:shd w:val="clear" w:color="auto" w:fill="DEEAF6" w:themeFill="accent5" w:themeFillTint="33"/>
        </w:rPr>
        <w:t>說明</w:t>
      </w:r>
    </w:p>
    <w:p w14:paraId="2B4D0452" w14:textId="223BCFBB" w:rsidR="00DA28B4" w:rsidRDefault="00DA28B4" w:rsidP="00DA28B4">
      <w:pPr>
        <w:ind w:left="35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IFE</w:t>
      </w:r>
      <w:r w:rsidRPr="00DA28B4"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國際費雪效果</w:t>
      </w:r>
      <w:r w:rsidRPr="00DA28B4">
        <w:rPr>
          <w:rFonts w:ascii="Times New Roman" w:eastAsiaTheme="minorEastAsia" w:hAnsi="Times New Roman" w:cs="Times New Roman"/>
        </w:rPr>
        <w:t>）</w:t>
      </w:r>
      <w:r>
        <w:rPr>
          <w:rFonts w:ascii="Times New Roman" w:eastAsiaTheme="minorEastAsia" w:hAnsi="Times New Roman" w:cs="Times New Roman" w:hint="eastAsia"/>
        </w:rPr>
        <w:t>指在資金可完全流動下，</w:t>
      </w:r>
      <w:r w:rsidR="00C75EF5" w:rsidRPr="00C75EF5">
        <w:rPr>
          <w:rFonts w:ascii="Times New Roman" w:eastAsiaTheme="minorEastAsia" w:hAnsi="Times New Roman" w:cs="Times New Roman"/>
        </w:rPr>
        <w:t>在一定時間內即期匯率與兩國利率差異呈現大小相等、方向相反的變化。</w:t>
      </w:r>
    </w:p>
    <w:p w14:paraId="7E098B1B" w14:textId="6E8CDCDE" w:rsidR="00C75EF5" w:rsidRPr="00C75EF5" w:rsidRDefault="00C75EF5" w:rsidP="00002D98">
      <w:pPr>
        <w:pStyle w:val="a4"/>
        <w:spacing w:beforeLines="50" w:before="180"/>
        <w:ind w:leftChars="0" w:left="357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根據蒐集的資料實際驗證的結果顯示：</w:t>
      </w:r>
      <w:r w:rsidRPr="007C1BBF">
        <w:rPr>
          <w:rFonts w:ascii="Times New Roman" w:eastAsiaTheme="minorEastAsia" w:hAnsi="Times New Roman" w:cs="Times New Roman"/>
        </w:rPr>
        <w:t>美國與台灣</w:t>
      </w:r>
      <w:r>
        <w:rPr>
          <w:rFonts w:ascii="Times New Roman" w:eastAsiaTheme="minorEastAsia" w:hAnsi="Times New Roman" w:cs="Times New Roman" w:hint="eastAsia"/>
        </w:rPr>
        <w:t>在過去二年</w:t>
      </w:r>
      <w:r>
        <w:rPr>
          <w:rFonts w:ascii="Times New Roman" w:eastAsiaTheme="minorEastAsia" w:hAnsi="Times New Roman" w:cs="Times New Roman" w:hint="eastAsia"/>
        </w:rPr>
        <w:t>的</w:t>
      </w:r>
      <w:r>
        <w:rPr>
          <w:rFonts w:ascii="Times New Roman" w:eastAsiaTheme="minorEastAsia" w:hAnsi="Times New Roman" w:cs="Times New Roman" w:hint="eastAsia"/>
        </w:rPr>
        <w:t>I</w:t>
      </w:r>
      <w:r>
        <w:rPr>
          <w:rFonts w:ascii="Times New Roman" w:eastAsiaTheme="minorEastAsia" w:hAnsi="Times New Roman" w:cs="Times New Roman"/>
        </w:rPr>
        <w:t>FE</w:t>
      </w:r>
      <w:r>
        <w:rPr>
          <w:rFonts w:ascii="Times New Roman" w:eastAsiaTheme="minorEastAsia" w:hAnsi="Times New Roman" w:cs="Times New Roman" w:hint="eastAsia"/>
        </w:rPr>
        <w:t>不</w:t>
      </w:r>
      <w:r>
        <w:rPr>
          <w:rFonts w:ascii="Times New Roman" w:eastAsiaTheme="minorEastAsia" w:hAnsi="Times New Roman" w:cs="Times New Roman" w:hint="eastAsia"/>
        </w:rPr>
        <w:t>成立，也就是說，美</w:t>
      </w:r>
      <w:r>
        <w:rPr>
          <w:rFonts w:ascii="Times New Roman" w:eastAsiaTheme="minorEastAsia" w:hAnsi="Times New Roman" w:cs="Times New Roman" w:hint="eastAsia"/>
        </w:rPr>
        <w:t>國</w:t>
      </w:r>
      <w:r>
        <w:rPr>
          <w:rFonts w:ascii="Times New Roman" w:eastAsiaTheme="minorEastAsia" w:hAnsi="Times New Roman" w:cs="Times New Roman" w:hint="eastAsia"/>
        </w:rPr>
        <w:t>與台</w:t>
      </w:r>
      <w:r>
        <w:rPr>
          <w:rFonts w:ascii="Times New Roman" w:eastAsiaTheme="minorEastAsia" w:hAnsi="Times New Roman" w:cs="Times New Roman" w:hint="eastAsia"/>
        </w:rPr>
        <w:t>灣</w:t>
      </w:r>
      <w:r>
        <w:rPr>
          <w:rFonts w:ascii="Times New Roman" w:eastAsiaTheme="minorEastAsia" w:hAnsi="Times New Roman" w:cs="Times New Roman" w:hint="eastAsia"/>
        </w:rPr>
        <w:t>在這段期間</w:t>
      </w:r>
      <w:r>
        <w:rPr>
          <w:rFonts w:ascii="Times New Roman" w:eastAsiaTheme="minorEastAsia" w:hAnsi="Times New Roman" w:cs="Times New Roman" w:hint="eastAsia"/>
        </w:rPr>
        <w:t>的匯率和利率的差異並沒有呈現大小相等、方向相反的變化。原因可能是：從</w:t>
      </w:r>
      <w:r>
        <w:rPr>
          <w:rFonts w:ascii="Times New Roman" w:eastAsiaTheme="minorEastAsia" w:hAnsi="Times New Roman" w:cs="Times New Roman"/>
        </w:rPr>
        <w:t>2022</w:t>
      </w:r>
      <w:r>
        <w:rPr>
          <w:rFonts w:ascii="Times New Roman" w:eastAsiaTheme="minorEastAsia" w:hAnsi="Times New Roman" w:cs="Times New Roman" w:hint="eastAsia"/>
        </w:rPr>
        <w:t>年開始升息後，美國和台灣的升息幅度不同，兩國利差越來越大。</w:t>
      </w:r>
    </w:p>
    <w:sectPr w:rsidR="00C75EF5" w:rsidRPr="00C75EF5" w:rsidSect="00D10263">
      <w:footerReference w:type="even" r:id="rId15"/>
      <w:footerReference w:type="default" r:id="rId16"/>
      <w:pgSz w:w="11906" w:h="16838"/>
      <w:pgMar w:top="1418" w:right="1758" w:bottom="1418" w:left="175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2E6" w14:textId="77777777" w:rsidR="00616E56" w:rsidRDefault="00616E56" w:rsidP="006C505B">
      <w:r>
        <w:separator/>
      </w:r>
    </w:p>
  </w:endnote>
  <w:endnote w:type="continuationSeparator" w:id="0">
    <w:p w14:paraId="5A7AE705" w14:textId="77777777" w:rsidR="00616E56" w:rsidRDefault="00616E56" w:rsidP="006C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93793593"/>
      <w:docPartObj>
        <w:docPartGallery w:val="Page Numbers (Bottom of Page)"/>
        <w:docPartUnique/>
      </w:docPartObj>
    </w:sdtPr>
    <w:sdtContent>
      <w:p w14:paraId="3B539FC0" w14:textId="128F5714" w:rsidR="006C505B" w:rsidRDefault="006C505B" w:rsidP="00236DD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 w:rsidR="00D10263">
          <w:rPr>
            <w:rStyle w:val="a8"/>
          </w:rPr>
          <w:fldChar w:fldCharType="separate"/>
        </w:r>
        <w:r w:rsidR="00D10263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2C2C5207" w14:textId="77777777" w:rsidR="006C505B" w:rsidRDefault="006C505B" w:rsidP="006C505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165125654"/>
      <w:docPartObj>
        <w:docPartGallery w:val="Page Numbers (Bottom of Page)"/>
        <w:docPartUnique/>
      </w:docPartObj>
    </w:sdtPr>
    <w:sdtContent>
      <w:p w14:paraId="44EA5868" w14:textId="78283D02" w:rsidR="006C505B" w:rsidRDefault="006C505B" w:rsidP="00236DD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753D1F65" w14:textId="77777777" w:rsidR="006C505B" w:rsidRDefault="006C505B" w:rsidP="006C505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377F" w14:textId="77777777" w:rsidR="00616E56" w:rsidRDefault="00616E56" w:rsidP="006C505B">
      <w:r>
        <w:separator/>
      </w:r>
    </w:p>
  </w:footnote>
  <w:footnote w:type="continuationSeparator" w:id="0">
    <w:p w14:paraId="04BAD93A" w14:textId="77777777" w:rsidR="00616E56" w:rsidRDefault="00616E56" w:rsidP="006C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648B"/>
    <w:multiLevelType w:val="hybridMultilevel"/>
    <w:tmpl w:val="CA4A200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C1CD3"/>
    <w:multiLevelType w:val="hybridMultilevel"/>
    <w:tmpl w:val="1A3AA56C"/>
    <w:lvl w:ilvl="0" w:tplc="FFFFFFFF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26A2340"/>
    <w:multiLevelType w:val="hybridMultilevel"/>
    <w:tmpl w:val="1A3AA56C"/>
    <w:lvl w:ilvl="0" w:tplc="619C1F1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5D13116"/>
    <w:multiLevelType w:val="hybridMultilevel"/>
    <w:tmpl w:val="D0C82754"/>
    <w:lvl w:ilvl="0" w:tplc="02A4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5646661">
    <w:abstractNumId w:val="0"/>
  </w:num>
  <w:num w:numId="2" w16cid:durableId="1855533155">
    <w:abstractNumId w:val="3"/>
  </w:num>
  <w:num w:numId="3" w16cid:durableId="803233202">
    <w:abstractNumId w:val="2"/>
  </w:num>
  <w:num w:numId="4" w16cid:durableId="199702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84"/>
    <w:rsid w:val="00002D98"/>
    <w:rsid w:val="0001650A"/>
    <w:rsid w:val="0015088E"/>
    <w:rsid w:val="00261903"/>
    <w:rsid w:val="00333DE1"/>
    <w:rsid w:val="003A7B21"/>
    <w:rsid w:val="003D13BB"/>
    <w:rsid w:val="00570DEB"/>
    <w:rsid w:val="00592AA4"/>
    <w:rsid w:val="005959C8"/>
    <w:rsid w:val="00612293"/>
    <w:rsid w:val="00616E56"/>
    <w:rsid w:val="006406F9"/>
    <w:rsid w:val="006C505B"/>
    <w:rsid w:val="006D23C1"/>
    <w:rsid w:val="007C1BBF"/>
    <w:rsid w:val="00837D00"/>
    <w:rsid w:val="00C529C8"/>
    <w:rsid w:val="00C75EF5"/>
    <w:rsid w:val="00CA7184"/>
    <w:rsid w:val="00CB04FA"/>
    <w:rsid w:val="00CC6267"/>
    <w:rsid w:val="00CD0DD7"/>
    <w:rsid w:val="00D10263"/>
    <w:rsid w:val="00DA28B4"/>
    <w:rsid w:val="00EC01B2"/>
    <w:rsid w:val="00F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F046B"/>
  <w15:chartTrackingRefBased/>
  <w15:docId w15:val="{D8F715A8-4BC5-504B-BDAA-9E0598E9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84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50A"/>
    <w:pPr>
      <w:ind w:leftChars="200" w:left="480"/>
    </w:pPr>
  </w:style>
  <w:style w:type="character" w:styleId="a5">
    <w:name w:val="Placeholder Text"/>
    <w:basedOn w:val="a0"/>
    <w:uiPriority w:val="99"/>
    <w:semiHidden/>
    <w:rsid w:val="00F122B4"/>
    <w:rPr>
      <w:color w:val="808080"/>
    </w:rPr>
  </w:style>
  <w:style w:type="paragraph" w:styleId="a6">
    <w:name w:val="footer"/>
    <w:basedOn w:val="a"/>
    <w:link w:val="a7"/>
    <w:uiPriority w:val="99"/>
    <w:unhideWhenUsed/>
    <w:rsid w:val="006C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05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C505B"/>
  </w:style>
  <w:style w:type="paragraph" w:styleId="a9">
    <w:name w:val="header"/>
    <w:basedOn w:val="a"/>
    <w:link w:val="aa"/>
    <w:uiPriority w:val="99"/>
    <w:unhideWhenUsed/>
    <w:rsid w:val="006C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505B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yentingtsai/Desktop/&#22283;&#38555;&#36001;&#31649;&#22577;&#21578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yentingtsai/Desktop/&#22283;&#38555;&#36001;&#31649;&#22577;&#21578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yentingtsai/Desktop/&#22283;&#38555;&#36001;&#31649;&#22577;&#21578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900">
                <a:solidFill>
                  <a:schemeClr val="tx1"/>
                </a:solidFill>
                <a:latin typeface="Microsoft JhengHei" panose="020B0604030504040204" pitchFamily="34" charset="-120"/>
                <a:ea typeface="Microsoft JhengHei" panose="020B0604030504040204" pitchFamily="34" charset="-120"/>
              </a:rPr>
              <a:t>投資組合報酬率</a:t>
            </a:r>
          </a:p>
        </c:rich>
      </c:tx>
      <c:layout>
        <c:manualLayout>
          <c:xMode val="edge"/>
          <c:yMode val="edge"/>
          <c:x val="9.176324043823441E-3"/>
          <c:y val="3.47852047841982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0316219526896934"/>
          <c:y val="0.16616474629054823"/>
          <c:w val="0.71641713334726576"/>
          <c:h val="0.732965692064659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'4 Asset IOS (V)'!$U$2</c:f>
              <c:strCache>
                <c:ptCount val="1"/>
                <c:pt idx="0">
                  <c:v>投資組合報酬率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'4 Asset IOS (V)'!$T$3:$T$31</c:f>
              <c:numCache>
                <c:formatCode>0.000000_);[Red]\(0.000000\)</c:formatCode>
                <c:ptCount val="29"/>
                <c:pt idx="0">
                  <c:v>2.1525694084497896E-2</c:v>
                </c:pt>
                <c:pt idx="1">
                  <c:v>2.0506380193460457E-2</c:v>
                </c:pt>
                <c:pt idx="2">
                  <c:v>1.9506129336957626E-2</c:v>
                </c:pt>
                <c:pt idx="3">
                  <c:v>1.8527999153113383E-2</c:v>
                </c:pt>
                <c:pt idx="4">
                  <c:v>1.7575779654298289E-2</c:v>
                </c:pt>
                <c:pt idx="5">
                  <c:v>1.6653813976002126E-2</c:v>
                </c:pt>
                <c:pt idx="6">
                  <c:v>1.576744608394794E-2</c:v>
                </c:pt>
                <c:pt idx="7">
                  <c:v>1.492302044558794E-2</c:v>
                </c:pt>
                <c:pt idx="8">
                  <c:v>1.4128059503615648E-2</c:v>
                </c:pt>
                <c:pt idx="9">
                  <c:v>1.3391385858874776E-2</c:v>
                </c:pt>
                <c:pt idx="10">
                  <c:v>1.2723095308556507E-2</c:v>
                </c:pt>
                <c:pt idx="11">
                  <c:v>1.2134525902961449E-2</c:v>
                </c:pt>
                <c:pt idx="12">
                  <c:v>1.1637767373261608E-2</c:v>
                </c:pt>
                <c:pt idx="13">
                  <c:v>1.1244993719552468E-2</c:v>
                </c:pt>
                <c:pt idx="14">
                  <c:v>1.0955043903837969E-2</c:v>
                </c:pt>
                <c:pt idx="15">
                  <c:v>1.0705683668437242E-2</c:v>
                </c:pt>
                <c:pt idx="16">
                  <c:v>1.0484414825933824E-2</c:v>
                </c:pt>
                <c:pt idx="17">
                  <c:v>1.0292147139878315E-2</c:v>
                </c:pt>
                <c:pt idx="18">
                  <c:v>1.0130541430372061E-2</c:v>
                </c:pt>
                <c:pt idx="19">
                  <c:v>1.0001074579286475E-2</c:v>
                </c:pt>
                <c:pt idx="20">
                  <c:v>9.905010187729461E-3</c:v>
                </c:pt>
                <c:pt idx="21">
                  <c:v>9.8433262154399952E-3</c:v>
                </c:pt>
                <c:pt idx="22">
                  <c:v>9.816670831664329E-3</c:v>
                </c:pt>
                <c:pt idx="23">
                  <c:v>9.8253290538405091E-3</c:v>
                </c:pt>
                <c:pt idx="24">
                  <c:v>9.8730054665531614E-3</c:v>
                </c:pt>
                <c:pt idx="25">
                  <c:v>1.0001055985810884E-2</c:v>
                </c:pt>
                <c:pt idx="26">
                  <c:v>1.021786263441451E-2</c:v>
                </c:pt>
                <c:pt idx="27">
                  <c:v>1.0517938486810131E-2</c:v>
                </c:pt>
                <c:pt idx="28">
                  <c:v>1.0894405036231397E-2</c:v>
                </c:pt>
              </c:numCache>
            </c:numRef>
          </c:xVal>
          <c:yVal>
            <c:numRef>
              <c:f>'4 Asset IOS (V)'!$U$3:$U$31</c:f>
              <c:numCache>
                <c:formatCode>0.000000_);[Red]\(0.000000\)</c:formatCode>
                <c:ptCount val="29"/>
                <c:pt idx="0">
                  <c:v>6.7371752836822613E-4</c:v>
                </c:pt>
                <c:pt idx="1">
                  <c:v>6.5369278187657769E-4</c:v>
                </c:pt>
                <c:pt idx="2">
                  <c:v>6.3366803538492924E-4</c:v>
                </c:pt>
                <c:pt idx="3">
                  <c:v>6.136432888932808E-4</c:v>
                </c:pt>
                <c:pt idx="4">
                  <c:v>5.9361854240163236E-4</c:v>
                </c:pt>
                <c:pt idx="5">
                  <c:v>5.7359379590998392E-4</c:v>
                </c:pt>
                <c:pt idx="6">
                  <c:v>5.5356904941833548E-4</c:v>
                </c:pt>
                <c:pt idx="7">
                  <c:v>5.3354430292668704E-4</c:v>
                </c:pt>
                <c:pt idx="8">
                  <c:v>5.135195564350386E-4</c:v>
                </c:pt>
                <c:pt idx="9">
                  <c:v>4.9349480994339016E-4</c:v>
                </c:pt>
                <c:pt idx="10">
                  <c:v>4.7347006345174172E-4</c:v>
                </c:pt>
                <c:pt idx="11">
                  <c:v>4.5344531696009328E-4</c:v>
                </c:pt>
                <c:pt idx="12">
                  <c:v>4.3342057046844484E-4</c:v>
                </c:pt>
                <c:pt idx="13">
                  <c:v>4.133958239767964E-4</c:v>
                </c:pt>
                <c:pt idx="14">
                  <c:v>3.9337107748514796E-4</c:v>
                </c:pt>
                <c:pt idx="15">
                  <c:v>3.7334633099349952E-4</c:v>
                </c:pt>
                <c:pt idx="16">
                  <c:v>3.5332158450185108E-4</c:v>
                </c:pt>
                <c:pt idx="17">
                  <c:v>3.3329683801020264E-4</c:v>
                </c:pt>
                <c:pt idx="18">
                  <c:v>3.132720915185542E-4</c:v>
                </c:pt>
                <c:pt idx="19">
                  <c:v>2.9324734502690576E-4</c:v>
                </c:pt>
                <c:pt idx="20">
                  <c:v>2.7322259853525732E-4</c:v>
                </c:pt>
                <c:pt idx="21">
                  <c:v>2.5319785204360888E-4</c:v>
                </c:pt>
                <c:pt idx="22">
                  <c:v>2.3317310555196044E-4</c:v>
                </c:pt>
                <c:pt idx="23">
                  <c:v>2.13148359060312E-4</c:v>
                </c:pt>
                <c:pt idx="24">
                  <c:v>1.9312361256866356E-4</c:v>
                </c:pt>
                <c:pt idx="25">
                  <c:v>1.7309886607701512E-4</c:v>
                </c:pt>
                <c:pt idx="26">
                  <c:v>1.5307411958536668E-4</c:v>
                </c:pt>
                <c:pt idx="27">
                  <c:v>1.3304937309371824E-4</c:v>
                </c:pt>
                <c:pt idx="28">
                  <c:v>1.130246266020698E-4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5B9-5D4F-85EE-66B7D337A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5882416"/>
        <c:axId val="1012949039"/>
      </c:scatterChart>
      <c:valAx>
        <c:axId val="136588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_);[Red]\(#,##0.00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012949039"/>
        <c:crosses val="autoZero"/>
        <c:crossBetween val="midCat"/>
      </c:valAx>
      <c:valAx>
        <c:axId val="101294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3658824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PPP!$E$1</c:f>
              <c:strCache>
                <c:ptCount val="1"/>
                <c:pt idx="0">
                  <c:v>匯率變動率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rnd" cmpd="sng">
                <a:solidFill>
                  <a:schemeClr val="accent4">
                    <a:lumMod val="75000"/>
                  </a:schemeClr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xVal>
            <c:numRef>
              <c:f>PPP!$D$2:$D$27</c:f>
              <c:numCache>
                <c:formatCode>0.000000</c:formatCode>
                <c:ptCount val="26"/>
                <c:pt idx="0">
                  <c:v>-6.1321789027696672E-4</c:v>
                </c:pt>
                <c:pt idx="1">
                  <c:v>-1.3033855398796186E-2</c:v>
                </c:pt>
                <c:pt idx="2">
                  <c:v>-1.5188184627427017E-3</c:v>
                </c:pt>
                <c:pt idx="3">
                  <c:v>-5.656706929707594E-3</c:v>
                </c:pt>
                <c:pt idx="4">
                  <c:v>-7.3146909174473199E-3</c:v>
                </c:pt>
                <c:pt idx="5">
                  <c:v>-2.792479632932898E-3</c:v>
                </c:pt>
                <c:pt idx="6">
                  <c:v>3.7281271782426424E-3</c:v>
                </c:pt>
                <c:pt idx="7">
                  <c:v>-1.1216762837023843E-3</c:v>
                </c:pt>
                <c:pt idx="8">
                  <c:v>-5.383833863624319E-3</c:v>
                </c:pt>
                <c:pt idx="9">
                  <c:v>-2.5247845348093266E-3</c:v>
                </c:pt>
                <c:pt idx="10">
                  <c:v>-5.0325582932185323E-3</c:v>
                </c:pt>
                <c:pt idx="11">
                  <c:v>-2.7501026754001285E-3</c:v>
                </c:pt>
                <c:pt idx="12">
                  <c:v>-9.1488295474539422E-3</c:v>
                </c:pt>
                <c:pt idx="13">
                  <c:v>-1.0067360103555389E-2</c:v>
                </c:pt>
                <c:pt idx="14">
                  <c:v>2.0590355688883998E-3</c:v>
                </c:pt>
                <c:pt idx="15">
                  <c:v>-8.3992886697481176E-3</c:v>
                </c:pt>
                <c:pt idx="16">
                  <c:v>-9.8133993736923934E-3</c:v>
                </c:pt>
                <c:pt idx="17">
                  <c:v>-1.7217696103051218E-4</c:v>
                </c:pt>
                <c:pt idx="18">
                  <c:v>-4.2004304382054468E-4</c:v>
                </c:pt>
                <c:pt idx="19">
                  <c:v>2.7017643367950654E-4</c:v>
                </c:pt>
                <c:pt idx="20">
                  <c:v>-1.3454611604886921E-3</c:v>
                </c:pt>
                <c:pt idx="21">
                  <c:v>-4.3591832821360379E-4</c:v>
                </c:pt>
                <c:pt idx="22">
                  <c:v>4.6284045447598293E-3</c:v>
                </c:pt>
                <c:pt idx="23">
                  <c:v>9.5823890949577886E-4</c:v>
                </c:pt>
                <c:pt idx="24">
                  <c:v>-1.172428529820743E-2</c:v>
                </c:pt>
                <c:pt idx="25">
                  <c:v>-8.0949142468563471E-4</c:v>
                </c:pt>
              </c:numCache>
            </c:numRef>
          </c:xVal>
          <c:yVal>
            <c:numRef>
              <c:f>PPP!$E$2:$E$27</c:f>
              <c:numCache>
                <c:formatCode>0.000000</c:formatCode>
                <c:ptCount val="26"/>
                <c:pt idx="0">
                  <c:v>-2.8139289482939957E-3</c:v>
                </c:pt>
                <c:pt idx="1">
                  <c:v>1.4109347442680476E-3</c:v>
                </c:pt>
                <c:pt idx="2">
                  <c:v>-4.6847481507572781E-3</c:v>
                </c:pt>
                <c:pt idx="3">
                  <c:v>-1.1890858902218991E-2</c:v>
                </c:pt>
                <c:pt idx="4">
                  <c:v>-4.4411016797392209E-3</c:v>
                </c:pt>
                <c:pt idx="5">
                  <c:v>7.3389214663453113E-3</c:v>
                </c:pt>
                <c:pt idx="6">
                  <c:v>-4.3927002607050143E-3</c:v>
                </c:pt>
                <c:pt idx="7">
                  <c:v>-5.0577516321114067E-3</c:v>
                </c:pt>
                <c:pt idx="8">
                  <c:v>7.5350614702384255E-3</c:v>
                </c:pt>
                <c:pt idx="9">
                  <c:v>-4.580261933729339E-3</c:v>
                </c:pt>
                <c:pt idx="10">
                  <c:v>-2.0490330002157654E-3</c:v>
                </c:pt>
                <c:pt idx="11">
                  <c:v>-2.9898058427289512E-3</c:v>
                </c:pt>
                <c:pt idx="12">
                  <c:v>7.3343449671218804E-3</c:v>
                </c:pt>
                <c:pt idx="13">
                  <c:v>2.0085362791865381E-2</c:v>
                </c:pt>
                <c:pt idx="14">
                  <c:v>2.4858478956436159E-2</c:v>
                </c:pt>
                <c:pt idx="15">
                  <c:v>1.5404144366680446E-2</c:v>
                </c:pt>
                <c:pt idx="16">
                  <c:v>1.1825522857046369E-3</c:v>
                </c:pt>
                <c:pt idx="17">
                  <c:v>7.8968682505398957E-3</c:v>
                </c:pt>
                <c:pt idx="18">
                  <c:v>7.4666845242080957E-3</c:v>
                </c:pt>
                <c:pt idx="19">
                  <c:v>3.8319651699956873E-2</c:v>
                </c:pt>
                <c:pt idx="20">
                  <c:v>2.3269957109019919E-2</c:v>
                </c:pt>
                <c:pt idx="21">
                  <c:v>-1.5859113516218881E-2</c:v>
                </c:pt>
                <c:pt idx="22">
                  <c:v>-2.5141440467866007E-2</c:v>
                </c:pt>
                <c:pt idx="23">
                  <c:v>-7.1076913044895822E-3</c:v>
                </c:pt>
                <c:pt idx="24">
                  <c:v>-8.9974715134798194E-3</c:v>
                </c:pt>
                <c:pt idx="25">
                  <c:v>1.2591537161602525E-2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819-5341-84B3-BFCED2AA4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6322191"/>
        <c:axId val="456431295"/>
      </c:scatterChart>
      <c:valAx>
        <c:axId val="456322191"/>
        <c:scaling>
          <c:orientation val="minMax"/>
          <c:max val="0.05"/>
          <c:min val="-0.0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Microsoft JhengHei" panose="020B0604030504040204" pitchFamily="34" charset="-120"/>
                    <a:ea typeface="Microsoft JhengHei" panose="020B0604030504040204" pitchFamily="34" charset="-120"/>
                  </a:rPr>
                  <a:t>兩國通膨率的差距</a:t>
                </a:r>
              </a:p>
            </c:rich>
          </c:tx>
          <c:layout>
            <c:manualLayout>
              <c:xMode val="edge"/>
              <c:yMode val="edge"/>
              <c:x val="0.31034221010946078"/>
              <c:y val="0.936522922080463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6431295"/>
        <c:crosses val="autoZero"/>
        <c:crossBetween val="midCat"/>
      </c:valAx>
      <c:valAx>
        <c:axId val="456431295"/>
        <c:scaling>
          <c:orientation val="minMax"/>
          <c:min val="-0.0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Microsoft JhengHei" panose="020B0604030504040204" pitchFamily="34" charset="-120"/>
                    <a:ea typeface="Microsoft JhengHei" panose="020B0604030504040204" pitchFamily="34" charset="-120"/>
                  </a:rPr>
                  <a:t>匯率變動率</a:t>
                </a:r>
                <a:endParaRPr lang="en-US" altLang="zh-TW">
                  <a:latin typeface="Microsoft JhengHei" panose="020B0604030504040204" pitchFamily="34" charset="-120"/>
                  <a:ea typeface="Microsoft JhengHei" panose="020B0604030504040204" pitchFamily="34" charset="-120"/>
                </a:endParaRPr>
              </a:p>
            </c:rich>
          </c:tx>
          <c:layout>
            <c:manualLayout>
              <c:xMode val="edge"/>
              <c:yMode val="edge"/>
              <c:x val="2.00836809496956E-3"/>
              <c:y val="0.404244733074854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63221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IFE!$E$1</c:f>
              <c:strCache>
                <c:ptCount val="1"/>
                <c:pt idx="0">
                  <c:v>匯率變動率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accent4">
                    <a:lumMod val="75000"/>
                  </a:schemeClr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xVal>
            <c:numRef>
              <c:f>IFE!$D$2:$D$27</c:f>
              <c:numCache>
                <c:formatCode>0.000000</c:formatCode>
                <c:ptCount val="26"/>
                <c:pt idx="0">
                  <c:v>0.96759259259259245</c:v>
                </c:pt>
                <c:pt idx="1">
                  <c:v>0.96759259259259245</c:v>
                </c:pt>
                <c:pt idx="2">
                  <c:v>0.96759259259259245</c:v>
                </c:pt>
                <c:pt idx="3">
                  <c:v>0.96759259259259245</c:v>
                </c:pt>
                <c:pt idx="4">
                  <c:v>0.96759259259259245</c:v>
                </c:pt>
                <c:pt idx="5">
                  <c:v>0.96759259259259245</c:v>
                </c:pt>
                <c:pt idx="6">
                  <c:v>0.96759259259259245</c:v>
                </c:pt>
                <c:pt idx="7">
                  <c:v>0.96759259259259245</c:v>
                </c:pt>
                <c:pt idx="8">
                  <c:v>0.96759259259259245</c:v>
                </c:pt>
                <c:pt idx="9">
                  <c:v>0.96759259259259245</c:v>
                </c:pt>
                <c:pt idx="10">
                  <c:v>0.96759259259259245</c:v>
                </c:pt>
                <c:pt idx="11">
                  <c:v>0.96759259259259245</c:v>
                </c:pt>
                <c:pt idx="12">
                  <c:v>0.96759259259259245</c:v>
                </c:pt>
                <c:pt idx="13">
                  <c:v>0.96759259259259245</c:v>
                </c:pt>
                <c:pt idx="14">
                  <c:v>0.97916666666666674</c:v>
                </c:pt>
                <c:pt idx="15">
                  <c:v>0.78571428571428559</c:v>
                </c:pt>
                <c:pt idx="16">
                  <c:v>0.34180790960451973</c:v>
                </c:pt>
                <c:pt idx="17">
                  <c:v>0.13122171945701358</c:v>
                </c:pt>
                <c:pt idx="18">
                  <c:v>-6.7164179104477598E-2</c:v>
                </c:pt>
                <c:pt idx="19">
                  <c:v>-0.24924924924924927</c:v>
                </c:pt>
                <c:pt idx="20">
                  <c:v>-0.26264044943820225</c:v>
                </c:pt>
                <c:pt idx="21">
                  <c:v>-0.35661764705882354</c:v>
                </c:pt>
                <c:pt idx="22">
                  <c:v>-0.45083682008368203</c:v>
                </c:pt>
                <c:pt idx="23">
                  <c:v>-0.46078431372549017</c:v>
                </c:pt>
                <c:pt idx="24">
                  <c:v>-0.48405253283302063</c:v>
                </c:pt>
                <c:pt idx="25">
                  <c:v>-0.5062836624775584</c:v>
                </c:pt>
              </c:numCache>
            </c:numRef>
          </c:xVal>
          <c:yVal>
            <c:numRef>
              <c:f>IFE!$E$2:$E$27</c:f>
              <c:numCache>
                <c:formatCode>0.000000</c:formatCode>
                <c:ptCount val="26"/>
                <c:pt idx="0">
                  <c:v>-2.8139289482939957E-3</c:v>
                </c:pt>
                <c:pt idx="1">
                  <c:v>1.4109347442680476E-3</c:v>
                </c:pt>
                <c:pt idx="2">
                  <c:v>-4.6847481507572781E-3</c:v>
                </c:pt>
                <c:pt idx="3">
                  <c:v>-1.1890858902218991E-2</c:v>
                </c:pt>
                <c:pt idx="4">
                  <c:v>-4.4411016797392209E-3</c:v>
                </c:pt>
                <c:pt idx="5">
                  <c:v>7.3389214663453113E-3</c:v>
                </c:pt>
                <c:pt idx="6">
                  <c:v>-4.3927002607050143E-3</c:v>
                </c:pt>
                <c:pt idx="7">
                  <c:v>-5.0577516321114067E-3</c:v>
                </c:pt>
                <c:pt idx="8">
                  <c:v>7.5350614702384255E-3</c:v>
                </c:pt>
                <c:pt idx="9">
                  <c:v>-4.580261933729339E-3</c:v>
                </c:pt>
                <c:pt idx="10">
                  <c:v>-2.0490330002157654E-3</c:v>
                </c:pt>
                <c:pt idx="11">
                  <c:v>-2.9898058427289512E-3</c:v>
                </c:pt>
                <c:pt idx="12">
                  <c:v>7.3343449671218804E-3</c:v>
                </c:pt>
                <c:pt idx="13">
                  <c:v>2.0085362791865381E-2</c:v>
                </c:pt>
                <c:pt idx="14">
                  <c:v>2.4858478956436159E-2</c:v>
                </c:pt>
                <c:pt idx="15">
                  <c:v>1.5404144366680446E-2</c:v>
                </c:pt>
                <c:pt idx="16">
                  <c:v>1.1825522857046369E-3</c:v>
                </c:pt>
                <c:pt idx="17">
                  <c:v>7.8968682505398957E-3</c:v>
                </c:pt>
                <c:pt idx="18">
                  <c:v>7.4666845242080957E-3</c:v>
                </c:pt>
                <c:pt idx="19">
                  <c:v>3.8319651699956873E-2</c:v>
                </c:pt>
                <c:pt idx="20">
                  <c:v>2.3269957109019919E-2</c:v>
                </c:pt>
                <c:pt idx="21">
                  <c:v>-1.5859113516218881E-2</c:v>
                </c:pt>
                <c:pt idx="22">
                  <c:v>-2.5141440467866007E-2</c:v>
                </c:pt>
                <c:pt idx="23">
                  <c:v>-7.1076913044895822E-3</c:v>
                </c:pt>
                <c:pt idx="24">
                  <c:v>-8.9974715134798194E-3</c:v>
                </c:pt>
                <c:pt idx="25">
                  <c:v>1.2591537161602525E-2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2BC-1448-83ED-FEEF6E574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2095"/>
        <c:axId val="185161311"/>
      </c:scatterChart>
      <c:valAx>
        <c:axId val="31420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Microsoft JhengHei" panose="020B0604030504040204" pitchFamily="34" charset="-120"/>
                    <a:ea typeface="Microsoft JhengHei" panose="020B0604030504040204" pitchFamily="34" charset="-120"/>
                  </a:rPr>
                  <a:t>兩國利率差距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85161311"/>
        <c:crosses val="autoZero"/>
        <c:crossBetween val="midCat"/>
      </c:valAx>
      <c:valAx>
        <c:axId val="18516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Microsoft JhengHei" panose="020B0604030504040204" pitchFamily="34" charset="-120"/>
                    <a:ea typeface="Microsoft JhengHei" panose="020B0604030504040204" pitchFamily="34" charset="-120"/>
                  </a:rPr>
                  <a:t>匯率變動率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0.0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14209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0.83115</cdr:x>
      <cdr:y>0.89235</cdr:y>
    </cdr:from>
    <cdr:to>
      <cdr:x>1</cdr:x>
      <cdr:y>0.98231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B934447E-48D7-688D-4191-88CF4B1D95F4}"/>
            </a:ext>
          </a:extLst>
        </cdr:cNvPr>
        <cdr:cNvSpPr txBox="1"/>
      </cdr:nvSpPr>
      <cdr:spPr>
        <a:xfrm xmlns:a="http://schemas.openxmlformats.org/drawingml/2006/main">
          <a:off x="4433346" y="2742551"/>
          <a:ext cx="900654" cy="27648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900">
              <a:latin typeface="Microsoft JhengHei" panose="020B0604030504040204" pitchFamily="34" charset="-120"/>
              <a:ea typeface="Microsoft JhengHei" panose="020B0604030504040204" pitchFamily="34" charset="-120"/>
            </a:rPr>
            <a:t> </a:t>
          </a:r>
          <a:r>
            <a:rPr lang="zh-TW" altLang="en-US" sz="900">
              <a:latin typeface="Microsoft JhengHei" panose="020B0604030504040204" pitchFamily="34" charset="-120"/>
              <a:ea typeface="Microsoft JhengHei" panose="020B0604030504040204" pitchFamily="34" charset="-120"/>
            </a:rPr>
            <a:t>投資組合風險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蔡燕亭</dc:creator>
  <cp:keywords/>
  <dc:description/>
  <cp:lastModifiedBy>蔡燕亭</cp:lastModifiedBy>
  <cp:revision>12</cp:revision>
  <dcterms:created xsi:type="dcterms:W3CDTF">2023-05-09T13:33:00Z</dcterms:created>
  <dcterms:modified xsi:type="dcterms:W3CDTF">2023-05-10T10:45:00Z</dcterms:modified>
</cp:coreProperties>
</file>