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E9621" w14:textId="78F8A224" w:rsidR="00071663" w:rsidRPr="003E0C30" w:rsidRDefault="00892856" w:rsidP="00892856">
      <w:pPr>
        <w:jc w:val="center"/>
        <w:rPr>
          <w:sz w:val="32"/>
          <w:szCs w:val="32"/>
        </w:rPr>
      </w:pPr>
      <w:r w:rsidRPr="003E0C30">
        <w:rPr>
          <w:rFonts w:hint="eastAsia"/>
          <w:sz w:val="32"/>
          <w:szCs w:val="32"/>
        </w:rPr>
        <w:t>國際財管期末報告</w:t>
      </w:r>
    </w:p>
    <w:p w14:paraId="75713563" w14:textId="76A8636C" w:rsidR="00892856" w:rsidRPr="00345703" w:rsidRDefault="00892856" w:rsidP="00892856">
      <w:pPr>
        <w:wordWrap w:val="0"/>
        <w:jc w:val="right"/>
      </w:pPr>
      <w:r w:rsidRPr="00345703">
        <w:t xml:space="preserve">08154207 </w:t>
      </w:r>
      <w:r w:rsidRPr="00345703">
        <w:rPr>
          <w:rFonts w:hint="eastAsia"/>
        </w:rPr>
        <w:t>貿四</w:t>
      </w:r>
      <w:r w:rsidRPr="00345703">
        <w:t>B</w:t>
      </w:r>
      <w:r w:rsidR="00706B25" w:rsidRPr="00345703">
        <w:t xml:space="preserve"> </w:t>
      </w:r>
      <w:r w:rsidR="00706B25" w:rsidRPr="00345703">
        <w:rPr>
          <w:rFonts w:hint="eastAsia"/>
        </w:rPr>
        <w:t>周子琪</w:t>
      </w:r>
    </w:p>
    <w:p w14:paraId="34795B7D" w14:textId="7280833D" w:rsidR="00892856" w:rsidRPr="005974F5" w:rsidRDefault="00892856" w:rsidP="00706B25">
      <w:pPr>
        <w:pStyle w:val="a3"/>
        <w:numPr>
          <w:ilvl w:val="0"/>
          <w:numId w:val="2"/>
        </w:numPr>
        <w:ind w:leftChars="0"/>
        <w:rPr>
          <w:b/>
          <w:bCs/>
          <w:sz w:val="28"/>
          <w:szCs w:val="28"/>
        </w:rPr>
      </w:pPr>
      <w:r w:rsidRPr="005974F5">
        <w:rPr>
          <w:rFonts w:hint="eastAsia"/>
          <w:b/>
          <w:bCs/>
          <w:sz w:val="28"/>
          <w:szCs w:val="28"/>
        </w:rPr>
        <w:t>效率前緣</w:t>
      </w:r>
    </w:p>
    <w:p w14:paraId="0A54CE71" w14:textId="6D55F8E9" w:rsidR="00706B25" w:rsidRDefault="000C693E" w:rsidP="003E0C30">
      <w:r w:rsidRPr="003E0C30">
        <w:rPr>
          <w:rFonts w:hint="eastAsia"/>
        </w:rPr>
        <w:t>搜集四個國家</w:t>
      </w:r>
      <w:r w:rsidR="00D04996">
        <w:rPr>
          <w:rFonts w:hint="eastAsia"/>
        </w:rPr>
        <w:t>在</w:t>
      </w:r>
      <w:r w:rsidRPr="003E0C30">
        <w:rPr>
          <w:rFonts w:hint="eastAsia"/>
        </w:rPr>
        <w:t>兩年間的大盤指數</w:t>
      </w:r>
      <w:r w:rsidR="00D04996">
        <w:rPr>
          <w:rFonts w:hint="eastAsia"/>
        </w:rPr>
        <w:t>，期間為</w:t>
      </w:r>
      <w:r w:rsidRPr="003E0C30">
        <w:t>2021</w:t>
      </w:r>
      <w:r w:rsidR="00D04996">
        <w:rPr>
          <w:rFonts w:hint="eastAsia"/>
        </w:rPr>
        <w:t>年</w:t>
      </w:r>
      <w:r w:rsidRPr="003E0C30">
        <w:t>4</w:t>
      </w:r>
      <w:r w:rsidR="00D04996">
        <w:rPr>
          <w:rFonts w:hint="eastAsia"/>
        </w:rPr>
        <w:t>月</w:t>
      </w:r>
      <w:r w:rsidRPr="003E0C30">
        <w:t>29</w:t>
      </w:r>
      <w:r w:rsidR="00D04996">
        <w:rPr>
          <w:rFonts w:hint="eastAsia"/>
        </w:rPr>
        <w:t>日至</w:t>
      </w:r>
      <w:r w:rsidRPr="003E0C30">
        <w:t>2023</w:t>
      </w:r>
      <w:r w:rsidR="00D04996">
        <w:rPr>
          <w:rFonts w:hint="eastAsia"/>
        </w:rPr>
        <w:t>年</w:t>
      </w:r>
      <w:r w:rsidRPr="003E0C30">
        <w:t>4</w:t>
      </w:r>
      <w:r w:rsidR="00D04996">
        <w:rPr>
          <w:rFonts w:hint="eastAsia"/>
        </w:rPr>
        <w:t>月</w:t>
      </w:r>
      <w:r w:rsidRPr="003E0C30">
        <w:t>29</w:t>
      </w:r>
      <w:r w:rsidR="00D04996">
        <w:rPr>
          <w:rFonts w:hint="eastAsia"/>
        </w:rPr>
        <w:t>日</w:t>
      </w:r>
      <w:r w:rsidRPr="003E0C30">
        <w:rPr>
          <w:rFonts w:hint="eastAsia"/>
        </w:rPr>
        <w:t>的數據</w:t>
      </w:r>
      <w:r w:rsidR="003E0C30" w:rsidRPr="003E0C30">
        <w:rPr>
          <w:rFonts w:hint="eastAsia"/>
        </w:rPr>
        <w:t>。分別為台灣、美國、英國、日本。</w:t>
      </w:r>
    </w:p>
    <w:p w14:paraId="110A17B4" w14:textId="4B3C1ABF" w:rsidR="003E0C30" w:rsidRDefault="003E0C30" w:rsidP="003E0C30"/>
    <w:p w14:paraId="5BDB00BB" w14:textId="08768D8E" w:rsidR="003E0C30" w:rsidRDefault="00210321" w:rsidP="003E0C3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運用數據繪出四個國家的大盤指數波動圖，由圖可知台灣大盤的波動幅度最大，如圖一。</w:t>
      </w:r>
    </w:p>
    <w:p w14:paraId="47213EC7" w14:textId="150EFA58" w:rsidR="00830244" w:rsidRDefault="00830244" w:rsidP="00830244">
      <w:pPr>
        <w:pStyle w:val="a3"/>
        <w:ind w:leftChars="0" w:left="360"/>
      </w:pPr>
      <w:r>
        <w:rPr>
          <w:rFonts w:hint="eastAsia"/>
        </w:rPr>
        <w:t>（台灣大盤指數為深藍色、美國</w:t>
      </w:r>
      <w:r>
        <w:t>S&amp;P 500</w:t>
      </w:r>
      <w:r>
        <w:rPr>
          <w:rFonts w:hint="eastAsia"/>
        </w:rPr>
        <w:t>指數為淺藍色、英國</w:t>
      </w:r>
      <w:r>
        <w:t>FTSE 100</w:t>
      </w:r>
      <w:r>
        <w:rPr>
          <w:rFonts w:hint="eastAsia"/>
        </w:rPr>
        <w:t>指數為綠色、日經</w:t>
      </w:r>
      <w:r>
        <w:t>225</w:t>
      </w:r>
      <w:r>
        <w:rPr>
          <w:rFonts w:hint="eastAsia"/>
        </w:rPr>
        <w:t>指數為黃色）</w:t>
      </w:r>
    </w:p>
    <w:p w14:paraId="7AA6BC8F" w14:textId="77777777" w:rsidR="00D04996" w:rsidRDefault="00D04996" w:rsidP="00830244">
      <w:pPr>
        <w:pStyle w:val="a3"/>
        <w:ind w:leftChars="0" w:left="360"/>
      </w:pPr>
    </w:p>
    <w:p w14:paraId="434CBCD9" w14:textId="57256866" w:rsidR="00BB0F04" w:rsidRDefault="00BB0F04" w:rsidP="00BB0F04">
      <w:pPr>
        <w:pStyle w:val="a3"/>
        <w:ind w:leftChars="0" w:left="360"/>
      </w:pPr>
      <w:r>
        <w:rPr>
          <w:noProof/>
        </w:rPr>
        <w:drawing>
          <wp:inline distT="0" distB="0" distL="0" distR="0" wp14:anchorId="0B30532C" wp14:editId="300398F0">
            <wp:extent cx="5765800" cy="424243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352" cy="42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D126" w14:textId="3FE30920" w:rsidR="00210321" w:rsidRPr="00246EC9" w:rsidRDefault="00210321" w:rsidP="00210321">
      <w:pPr>
        <w:pStyle w:val="a3"/>
        <w:ind w:leftChars="0" w:left="360"/>
        <w:jc w:val="center"/>
        <w:rPr>
          <w:sz w:val="20"/>
          <w:szCs w:val="20"/>
        </w:rPr>
      </w:pPr>
      <w:r w:rsidRPr="00246EC9">
        <w:rPr>
          <w:rFonts w:hint="eastAsia"/>
          <w:sz w:val="20"/>
          <w:szCs w:val="20"/>
        </w:rPr>
        <w:t>（圖一）四國家之大盤波動圖</w:t>
      </w:r>
    </w:p>
    <w:p w14:paraId="03E1E526" w14:textId="00C7D7B8" w:rsidR="00210321" w:rsidRDefault="00210321" w:rsidP="00210321">
      <w:pPr>
        <w:pStyle w:val="a3"/>
        <w:ind w:leftChars="0" w:left="360"/>
        <w:jc w:val="center"/>
      </w:pPr>
    </w:p>
    <w:p w14:paraId="0DAB5613" w14:textId="20E10545" w:rsidR="008550B6" w:rsidRDefault="008550B6" w:rsidP="00210321">
      <w:pPr>
        <w:pStyle w:val="a3"/>
        <w:ind w:leftChars="0" w:left="360"/>
        <w:jc w:val="center"/>
      </w:pPr>
    </w:p>
    <w:p w14:paraId="7393D911" w14:textId="09FB5970" w:rsidR="00D04996" w:rsidRDefault="00D04996" w:rsidP="00210321">
      <w:pPr>
        <w:pStyle w:val="a3"/>
        <w:ind w:leftChars="0" w:left="360"/>
        <w:jc w:val="center"/>
      </w:pPr>
    </w:p>
    <w:p w14:paraId="0AA2E5B2" w14:textId="6915866B" w:rsidR="00D04996" w:rsidRDefault="00D04996" w:rsidP="00210321">
      <w:pPr>
        <w:pStyle w:val="a3"/>
        <w:ind w:leftChars="0" w:left="360"/>
        <w:jc w:val="center"/>
      </w:pPr>
    </w:p>
    <w:p w14:paraId="5EB33FAB" w14:textId="77777777" w:rsidR="00D04996" w:rsidRPr="008550B6" w:rsidRDefault="00D04996" w:rsidP="00D04996"/>
    <w:p w14:paraId="22772632" w14:textId="713E75F9" w:rsidR="00210321" w:rsidRDefault="00210321" w:rsidP="0021032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運用兩年間四個國家之大盤指數的數據分別計算出其相關係數、變異數、平均報酬率與風險</w:t>
      </w:r>
      <w:r w:rsidR="00164604">
        <w:rPr>
          <w:rFonts w:hint="eastAsia"/>
        </w:rPr>
        <w:t>。由此表可知英國</w:t>
      </w:r>
      <w:r w:rsidR="00164604">
        <w:t>FTSE 100</w:t>
      </w:r>
      <w:r w:rsidR="00164604">
        <w:rPr>
          <w:rFonts w:hint="eastAsia"/>
        </w:rPr>
        <w:t>的平均報酬率最高，台灣大盤指數最低</w:t>
      </w:r>
      <w:r w:rsidR="00164604">
        <w:t>;</w:t>
      </w:r>
      <w:r w:rsidR="00164604">
        <w:rPr>
          <w:rFonts w:hint="eastAsia"/>
        </w:rPr>
        <w:t>美國</w:t>
      </w:r>
      <w:r w:rsidR="00164604">
        <w:t>S&amp;P 500</w:t>
      </w:r>
      <w:r w:rsidR="00164604">
        <w:rPr>
          <w:rFonts w:hint="eastAsia"/>
        </w:rPr>
        <w:t>風險最高，英國</w:t>
      </w:r>
      <w:r w:rsidR="00164604">
        <w:t>FTSE 100</w:t>
      </w:r>
      <w:r w:rsidR="00164604">
        <w:rPr>
          <w:rFonts w:hint="eastAsia"/>
        </w:rPr>
        <w:t>最低，如表一。</w:t>
      </w:r>
    </w:p>
    <w:p w14:paraId="0440CFDD" w14:textId="77777777" w:rsidR="00246EC9" w:rsidRDefault="00246EC9" w:rsidP="00246EC9">
      <w:pPr>
        <w:pStyle w:val="a3"/>
        <w:ind w:leftChars="0" w:left="360"/>
      </w:pPr>
    </w:p>
    <w:p w14:paraId="5FF3B471" w14:textId="32B0DEAE" w:rsidR="00D04996" w:rsidRDefault="00D04996" w:rsidP="00D04996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14C803E5" wp14:editId="227A443A">
            <wp:extent cx="5689960" cy="1790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53" cy="179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B7514" w14:textId="0088133A" w:rsidR="00D04996" w:rsidRDefault="00D04996" w:rsidP="00D04996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7D1248E0" wp14:editId="370D31A7">
            <wp:extent cx="5658069" cy="1206500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858" cy="12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3FDB" w14:textId="717679AD" w:rsidR="00937991" w:rsidRPr="00246EC9" w:rsidRDefault="00937991" w:rsidP="00937991">
      <w:pPr>
        <w:pStyle w:val="a3"/>
        <w:ind w:leftChars="0" w:left="360"/>
        <w:jc w:val="center"/>
        <w:rPr>
          <w:sz w:val="20"/>
          <w:szCs w:val="20"/>
        </w:rPr>
      </w:pPr>
      <w:r w:rsidRPr="00246EC9">
        <w:rPr>
          <w:rFonts w:hint="eastAsia"/>
          <w:sz w:val="20"/>
          <w:szCs w:val="20"/>
        </w:rPr>
        <w:t>（表一）相關係數、變異數、平均報酬率與風險</w:t>
      </w:r>
    </w:p>
    <w:p w14:paraId="6926C3DA" w14:textId="77777777" w:rsidR="00345703" w:rsidRDefault="00345703" w:rsidP="00937991">
      <w:pPr>
        <w:pStyle w:val="a3"/>
        <w:ind w:leftChars="0" w:left="360"/>
        <w:jc w:val="center"/>
      </w:pPr>
    </w:p>
    <w:p w14:paraId="68ED2B62" w14:textId="7A6FB2DE" w:rsidR="00345703" w:rsidRDefault="00345703" w:rsidP="00345703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運用數據計算不同風險下四國大盤指數的投資組合</w:t>
      </w:r>
      <w:r w:rsidR="00B74A2B">
        <w:rPr>
          <w:rFonts w:hint="eastAsia"/>
        </w:rPr>
        <w:t>風險與報酬率</w:t>
      </w:r>
      <w:r>
        <w:rPr>
          <w:rFonts w:hint="eastAsia"/>
        </w:rPr>
        <w:t>，</w:t>
      </w:r>
      <w:r w:rsidR="00B74A2B">
        <w:rPr>
          <w:rFonts w:hint="eastAsia"/>
        </w:rPr>
        <w:t>如表二、圖二所示。</w:t>
      </w:r>
    </w:p>
    <w:p w14:paraId="2A2DD560" w14:textId="4FA611C2" w:rsidR="00B74A2B" w:rsidRDefault="00113522" w:rsidP="00B74A2B">
      <w:pPr>
        <w:pStyle w:val="a3"/>
        <w:ind w:leftChars="0" w:left="360"/>
      </w:pPr>
      <w:r>
        <w:rPr>
          <w:noProof/>
        </w:rPr>
        <w:drawing>
          <wp:inline distT="0" distB="0" distL="0" distR="0" wp14:anchorId="31041678" wp14:editId="399C98F5">
            <wp:extent cx="5274310" cy="3156585"/>
            <wp:effectExtent l="0" t="0" r="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CB8D8" w14:textId="6B18FEC4" w:rsidR="00453C79" w:rsidRPr="00246EC9" w:rsidRDefault="00453C79" w:rsidP="00453C79">
      <w:pPr>
        <w:pStyle w:val="a3"/>
        <w:ind w:leftChars="0" w:left="360"/>
        <w:jc w:val="center"/>
        <w:rPr>
          <w:sz w:val="20"/>
          <w:szCs w:val="20"/>
        </w:rPr>
      </w:pPr>
      <w:r w:rsidRPr="00246EC9">
        <w:rPr>
          <w:rFonts w:hint="eastAsia"/>
          <w:sz w:val="20"/>
          <w:szCs w:val="20"/>
        </w:rPr>
        <w:t>（表二）投資組合權重</w:t>
      </w:r>
    </w:p>
    <w:p w14:paraId="38F29299" w14:textId="668DF4F9" w:rsidR="00453C79" w:rsidRDefault="00113522" w:rsidP="00453C79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 wp14:anchorId="6EFBDA22" wp14:editId="32AD3B0C">
            <wp:extent cx="5274310" cy="2868295"/>
            <wp:effectExtent l="0" t="0" r="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2889" w14:textId="779C50DB" w:rsidR="00453C79" w:rsidRDefault="005D5727" w:rsidP="005D5727">
      <w:pPr>
        <w:pStyle w:val="a3"/>
        <w:ind w:leftChars="0" w:left="360"/>
        <w:jc w:val="center"/>
        <w:rPr>
          <w:sz w:val="20"/>
          <w:szCs w:val="20"/>
        </w:rPr>
      </w:pPr>
      <w:r w:rsidRPr="00113522">
        <w:rPr>
          <w:rFonts w:hint="eastAsia"/>
          <w:sz w:val="20"/>
          <w:szCs w:val="20"/>
        </w:rPr>
        <w:t>（圖二）投資組合長條圖</w:t>
      </w:r>
    </w:p>
    <w:p w14:paraId="42D6CE81" w14:textId="45BD08E6" w:rsidR="00ED2639" w:rsidRDefault="00ED2639" w:rsidP="005D5727">
      <w:pPr>
        <w:pStyle w:val="a3"/>
        <w:ind w:leftChars="0" w:left="360"/>
        <w:jc w:val="center"/>
        <w:rPr>
          <w:sz w:val="20"/>
          <w:szCs w:val="20"/>
        </w:rPr>
      </w:pPr>
    </w:p>
    <w:p w14:paraId="000B37D3" w14:textId="77777777" w:rsidR="00ED2639" w:rsidRDefault="00ED2639" w:rsidP="005D5727">
      <w:pPr>
        <w:pStyle w:val="a3"/>
        <w:ind w:leftChars="0" w:left="360"/>
        <w:jc w:val="center"/>
        <w:rPr>
          <w:sz w:val="20"/>
          <w:szCs w:val="20"/>
        </w:rPr>
      </w:pPr>
    </w:p>
    <w:p w14:paraId="698DFAFA" w14:textId="47DAAF7B" w:rsidR="00ED2639" w:rsidRPr="00ED2639" w:rsidRDefault="00ED2639" w:rsidP="00ED2639">
      <w:pPr>
        <w:pStyle w:val="a3"/>
        <w:numPr>
          <w:ilvl w:val="0"/>
          <w:numId w:val="3"/>
        </w:numPr>
        <w:ind w:leftChars="0"/>
      </w:pPr>
      <w:r w:rsidRPr="00ED2639">
        <w:rPr>
          <w:rFonts w:hint="eastAsia"/>
        </w:rPr>
        <w:t>根據投資組合權重計算表（表二）繪出效率前緣，</w:t>
      </w:r>
      <w:r w:rsidR="002C76DB">
        <w:rPr>
          <w:rFonts w:hint="eastAsia"/>
        </w:rPr>
        <w:t>匯出的效率前緣圖與第一週課堂上所學的效率前緣圖特性相似，多一點投資標的也能降低風險，不過風險越大報酬率可疼也越大，</w:t>
      </w:r>
      <w:r w:rsidRPr="00ED2639">
        <w:rPr>
          <w:rFonts w:hint="eastAsia"/>
        </w:rPr>
        <w:t>如圖三。</w:t>
      </w:r>
    </w:p>
    <w:p w14:paraId="5531EEA0" w14:textId="60B343B6" w:rsidR="00ED2639" w:rsidRDefault="00375893" w:rsidP="00ED2639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70C97952" wp14:editId="03C9684F">
            <wp:extent cx="5274310" cy="32143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3445" w14:textId="739E139A" w:rsidR="002C76DB" w:rsidRDefault="00375893" w:rsidP="002C76DB">
      <w:pPr>
        <w:pStyle w:val="a3"/>
        <w:ind w:leftChars="0" w:left="36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（圖三）效率前緣</w:t>
      </w:r>
    </w:p>
    <w:p w14:paraId="1263002C" w14:textId="7B0A49F5" w:rsidR="00C71FF3" w:rsidRDefault="00C71FF3" w:rsidP="002C76DB">
      <w:pPr>
        <w:pStyle w:val="a3"/>
        <w:ind w:leftChars="0" w:left="360"/>
        <w:jc w:val="center"/>
        <w:rPr>
          <w:sz w:val="20"/>
          <w:szCs w:val="20"/>
        </w:rPr>
      </w:pPr>
    </w:p>
    <w:p w14:paraId="54C44220" w14:textId="0829A4DD" w:rsidR="00C71FF3" w:rsidRDefault="00C71FF3" w:rsidP="002C76DB">
      <w:pPr>
        <w:pStyle w:val="a3"/>
        <w:ind w:leftChars="0" w:left="360"/>
        <w:jc w:val="center"/>
        <w:rPr>
          <w:sz w:val="20"/>
          <w:szCs w:val="20"/>
        </w:rPr>
      </w:pPr>
    </w:p>
    <w:p w14:paraId="40A66097" w14:textId="49D4646F" w:rsidR="00C71FF3" w:rsidRDefault="00C71FF3" w:rsidP="002C76DB">
      <w:pPr>
        <w:pStyle w:val="a3"/>
        <w:ind w:leftChars="0" w:left="360"/>
        <w:jc w:val="center"/>
        <w:rPr>
          <w:sz w:val="20"/>
          <w:szCs w:val="20"/>
        </w:rPr>
      </w:pPr>
    </w:p>
    <w:p w14:paraId="741DDF85" w14:textId="147AF906" w:rsidR="00C71FF3" w:rsidRPr="005974F5" w:rsidRDefault="00C71FF3" w:rsidP="00C71FF3">
      <w:pPr>
        <w:pStyle w:val="a3"/>
        <w:numPr>
          <w:ilvl w:val="0"/>
          <w:numId w:val="2"/>
        </w:numPr>
        <w:ind w:leftChars="0"/>
        <w:rPr>
          <w:b/>
          <w:bCs/>
          <w:sz w:val="28"/>
          <w:szCs w:val="28"/>
        </w:rPr>
      </w:pPr>
      <w:r w:rsidRPr="005974F5">
        <w:rPr>
          <w:b/>
          <w:bCs/>
          <w:sz w:val="28"/>
          <w:szCs w:val="28"/>
        </w:rPr>
        <w:lastRenderedPageBreak/>
        <w:t>PPP</w:t>
      </w:r>
      <w:r w:rsidR="004716DC" w:rsidRPr="005974F5">
        <w:rPr>
          <w:rFonts w:hint="eastAsia"/>
          <w:b/>
          <w:bCs/>
          <w:sz w:val="28"/>
          <w:szCs w:val="28"/>
        </w:rPr>
        <w:t>實證</w:t>
      </w:r>
      <w:r w:rsidRPr="005974F5">
        <w:rPr>
          <w:rFonts w:hint="eastAsia"/>
          <w:b/>
          <w:bCs/>
          <w:sz w:val="28"/>
          <w:szCs w:val="28"/>
        </w:rPr>
        <w:t>與</w:t>
      </w:r>
      <w:r w:rsidRPr="005974F5">
        <w:rPr>
          <w:b/>
          <w:bCs/>
          <w:sz w:val="28"/>
          <w:szCs w:val="28"/>
        </w:rPr>
        <w:t>IFE</w:t>
      </w:r>
      <w:r w:rsidRPr="005974F5">
        <w:rPr>
          <w:rFonts w:hint="eastAsia"/>
          <w:b/>
          <w:bCs/>
          <w:sz w:val="28"/>
          <w:szCs w:val="28"/>
        </w:rPr>
        <w:t>實證</w:t>
      </w:r>
    </w:p>
    <w:p w14:paraId="3E425F29" w14:textId="3FF853D6" w:rsidR="004716DC" w:rsidRDefault="002929C4" w:rsidP="004716DC">
      <w:r>
        <w:rPr>
          <w:rFonts w:hint="eastAsia"/>
        </w:rPr>
        <w:t>搜集台灣、日本</w:t>
      </w:r>
      <w:r w:rsidRPr="003E0C30">
        <w:rPr>
          <w:rFonts w:hint="eastAsia"/>
        </w:rPr>
        <w:t>兩年間的</w:t>
      </w:r>
      <w:r>
        <w:rPr>
          <w:rFonts w:hint="eastAsia"/>
        </w:rPr>
        <w:t>C</w:t>
      </w:r>
      <w:r>
        <w:t>PI</w:t>
      </w:r>
      <w:r w:rsidRPr="003E0C30">
        <w:rPr>
          <w:rFonts w:hint="eastAsia"/>
        </w:rPr>
        <w:t>指數</w:t>
      </w:r>
      <w:r w:rsidR="00F35CB4">
        <w:rPr>
          <w:rFonts w:hint="eastAsia"/>
        </w:rPr>
        <w:t>、</w:t>
      </w:r>
      <w:r w:rsidR="00144C86">
        <w:rPr>
          <w:rFonts w:hint="eastAsia"/>
        </w:rPr>
        <w:t>台幣</w:t>
      </w:r>
      <w:r w:rsidR="004A0D91">
        <w:rPr>
          <w:rFonts w:hint="eastAsia"/>
        </w:rPr>
        <w:t>及</w:t>
      </w:r>
      <w:r w:rsidR="00144C86">
        <w:rPr>
          <w:rFonts w:hint="eastAsia"/>
        </w:rPr>
        <w:t>日圓數據</w:t>
      </w:r>
      <w:r>
        <w:rPr>
          <w:rFonts w:hint="eastAsia"/>
        </w:rPr>
        <w:t>，期間為</w:t>
      </w:r>
      <w:r w:rsidRPr="003E0C30">
        <w:t>202</w:t>
      </w:r>
      <w:r>
        <w:t>0</w:t>
      </w:r>
      <w:r>
        <w:rPr>
          <w:rFonts w:hint="eastAsia"/>
        </w:rPr>
        <w:t>年</w:t>
      </w:r>
      <w:r>
        <w:t>5</w:t>
      </w:r>
      <w:r>
        <w:rPr>
          <w:rFonts w:hint="eastAsia"/>
        </w:rPr>
        <w:t>月至</w:t>
      </w:r>
      <w:r w:rsidRPr="003E0C30">
        <w:t>202</w:t>
      </w:r>
      <w:r>
        <w:t>2</w:t>
      </w:r>
      <w:r>
        <w:rPr>
          <w:rFonts w:hint="eastAsia"/>
        </w:rPr>
        <w:t>年</w:t>
      </w:r>
      <w:r>
        <w:t>5</w:t>
      </w:r>
      <w:r>
        <w:rPr>
          <w:rFonts w:hint="eastAsia"/>
        </w:rPr>
        <w:t>月</w:t>
      </w:r>
      <w:r w:rsidR="004716DC">
        <w:rPr>
          <w:rFonts w:hint="eastAsia"/>
        </w:rPr>
        <w:t>的數據</w:t>
      </w:r>
      <w:r w:rsidR="00F947D3">
        <w:rPr>
          <w:rFonts w:hint="eastAsia"/>
        </w:rPr>
        <w:t>驗證</w:t>
      </w:r>
      <w:r w:rsidR="00F947D3">
        <w:t>PPP</w:t>
      </w:r>
      <w:r w:rsidR="00F947D3">
        <w:rPr>
          <w:rFonts w:hint="eastAsia"/>
        </w:rPr>
        <w:t>及</w:t>
      </w:r>
      <w:r w:rsidR="00F947D3">
        <w:t>IFE</w:t>
      </w:r>
      <w:r w:rsidR="00F947D3">
        <w:rPr>
          <w:rFonts w:hint="eastAsia"/>
        </w:rPr>
        <w:t>是否成立</w:t>
      </w:r>
      <w:r w:rsidR="004716DC">
        <w:rPr>
          <w:rFonts w:hint="eastAsia"/>
        </w:rPr>
        <w:t>。</w:t>
      </w:r>
    </w:p>
    <w:p w14:paraId="3A59FAF2" w14:textId="77777777" w:rsidR="00F947D3" w:rsidRDefault="00F947D3" w:rsidP="004716DC"/>
    <w:p w14:paraId="476B8CB9" w14:textId="2F2DF689" w:rsidR="00B96BEE" w:rsidRDefault="00F947D3" w:rsidP="00554BAF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運用上述數據計算出</w:t>
      </w:r>
      <w:r>
        <w:rPr>
          <w:rFonts w:hint="eastAsia"/>
        </w:rPr>
        <w:t>(</w:t>
      </w:r>
      <w:proofErr w:type="spellStart"/>
      <w:r>
        <w:t>ld-lf</w:t>
      </w:r>
      <w:proofErr w:type="spellEnd"/>
      <w:r>
        <w:rPr>
          <w:rFonts w:hint="eastAsia"/>
        </w:rPr>
        <w:t>)</w:t>
      </w:r>
      <w:r>
        <w:t>/(1+lf)</w:t>
      </w:r>
      <w:r>
        <w:rPr>
          <w:rFonts w:hint="eastAsia"/>
        </w:rPr>
        <w:t>及匯率變動率，並透過迴歸分析</w:t>
      </w:r>
      <w:r w:rsidR="005A6668">
        <w:t>PPP</w:t>
      </w:r>
      <w:r w:rsidR="005A6668">
        <w:rPr>
          <w:rFonts w:hint="eastAsia"/>
        </w:rPr>
        <w:t>是否成立</w:t>
      </w:r>
      <w:r w:rsidR="00B96BEE">
        <w:rPr>
          <w:rFonts w:hint="eastAsia"/>
        </w:rPr>
        <w:t>。如表三、表四、圖四。</w:t>
      </w:r>
    </w:p>
    <w:p w14:paraId="505FF558" w14:textId="6465C3E4" w:rsidR="00B70165" w:rsidRDefault="00DE6117" w:rsidP="00B70165">
      <w:pPr>
        <w:pStyle w:val="a3"/>
        <w:ind w:leftChars="0" w:left="36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0.0778-1</m:t>
            </m:r>
            <m:ctrlPr>
              <w:rPr>
                <w:rFonts w:ascii="Cambria Math" w:hAnsi="Cambria Math" w:hint="eastAsia"/>
                <w:i/>
              </w:rPr>
            </m:ctrlPr>
          </m:num>
          <m:den>
            <m:r>
              <w:rPr>
                <w:rFonts w:ascii="Cambria Math" w:hAnsi="Cambria Math"/>
              </w:rPr>
              <m:t>0.7544</m:t>
            </m:r>
          </m:den>
        </m:f>
      </m:oMath>
      <w:r w:rsidR="00B70165">
        <w:rPr>
          <w:rFonts w:hint="eastAsia"/>
        </w:rP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-0.9222</m:t>
            </m:r>
          </m:num>
          <m:den>
            <m:r>
              <w:rPr>
                <w:rFonts w:ascii="Cambria Math" w:hAnsi="Cambria Math"/>
              </w:rPr>
              <m:t>0.7544</m:t>
            </m:r>
          </m:den>
        </m:f>
      </m:oMath>
      <w:r w:rsidR="00B70165">
        <w:rPr>
          <w:rFonts w:hint="eastAsia"/>
        </w:rPr>
        <w:t>=</w:t>
      </w:r>
      <w:r w:rsidR="00B70165">
        <w:t xml:space="preserve">-1.222 </w:t>
      </w:r>
    </w:p>
    <w:p w14:paraId="6ED4F539" w14:textId="55EC292D" w:rsidR="00B96BEE" w:rsidRPr="00B96BEE" w:rsidRDefault="00DE6117" w:rsidP="00B96BEE">
      <w:pPr>
        <w:pStyle w:val="a3"/>
        <w:ind w:leftChars="0" w:left="360"/>
      </w:pP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hAnsi="Cambria Math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</w:rPr>
          <m:t>=-0.008+0.0778</m:t>
        </m:r>
        <m:r>
          <m:rPr>
            <m:scr m:val="script"/>
            <m:sty m:val="p"/>
          </m:rPr>
          <w:rPr>
            <w:rFonts w:ascii="Cambria Math" w:hAnsi="Cambria Math"/>
          </w:rPr>
          <m:t>x</m:t>
        </m:r>
      </m:oMath>
      <w:r w:rsidR="00C82912">
        <w:rPr>
          <w:rFonts w:hint="eastAsia"/>
        </w:rPr>
        <w:t xml:space="preserve"> </w:t>
      </w:r>
    </w:p>
    <w:p w14:paraId="40BB3FEC" w14:textId="3757F40E" w:rsidR="00554BAF" w:rsidRPr="00554BAF" w:rsidRDefault="00B96BEE" w:rsidP="00B96BEE">
      <w:pPr>
        <w:pStyle w:val="a3"/>
        <w:ind w:leftChars="0" w:left="36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</m:t>
          </m:r>
          <m:r>
            <w:rPr>
              <w:rFonts w:ascii="Cambria Math" w:hAnsi="Cambria Math" w:hint="eastAsia"/>
            </w:rPr>
            <m:t>=</m:t>
          </m:r>
          <m:r>
            <w:rPr>
              <w:rFonts w:ascii="Cambria Math" w:hAnsi="Cambria Math"/>
            </w:rPr>
            <m:t>-0.008</m:t>
          </m:r>
          <m:r>
            <m:rPr>
              <m:sty m:val="p"/>
            </m:rPr>
            <w:rPr>
              <w:rFonts w:ascii="Cambria Math" w:hAnsi="Cambria Math" w:hint="eastAsia"/>
            </w:rPr>
            <m:t>推論母體</m:t>
          </m:r>
          <m:r>
            <w:rPr>
              <w:rFonts w:ascii="Cambria Math" w:hAnsi="Cambria Math"/>
            </w:rPr>
            <m:t>α</m:t>
          </m:r>
        </m:oMath>
      </m:oMathPara>
    </w:p>
    <w:p w14:paraId="50373705" w14:textId="2F18FDFC" w:rsidR="00B96BEE" w:rsidRDefault="00B96BEE" w:rsidP="00B96BEE">
      <w:pPr>
        <w:pStyle w:val="a3"/>
        <w:ind w:leftChars="0" w:left="360"/>
      </w:pPr>
      <m:oMath>
        <m:r>
          <w:rPr>
            <w:rFonts w:ascii="Cambria Math" w:hAnsi="Cambria Math"/>
          </w:rPr>
          <m:t>b=0.0778</m:t>
        </m:r>
        <m:r>
          <m:rPr>
            <m:sty m:val="p"/>
          </m:rPr>
          <w:rPr>
            <w:rFonts w:ascii="Cambria Math" w:hAnsi="Cambria Math" w:hint="eastAsia"/>
          </w:rPr>
          <m:t>推論母體</m:t>
        </m:r>
        <m:r>
          <w:rPr>
            <w:rFonts w:ascii="Cambria Math" w:hAnsi="Cambria Math"/>
          </w:rPr>
          <m:t xml:space="preserve"> β</m:t>
        </m:r>
      </m:oMath>
      <w:r>
        <w:rPr>
          <w:rFonts w:hint="eastAsia"/>
        </w:rPr>
        <w:t xml:space="preserve"> </w:t>
      </w:r>
    </w:p>
    <w:p w14:paraId="6CD4858F" w14:textId="712E1FFC" w:rsidR="00234276" w:rsidRDefault="00234276" w:rsidP="00B96BEE">
      <w:pPr>
        <w:pStyle w:val="a3"/>
        <w:ind w:leftChars="0" w:left="360"/>
      </w:pPr>
      <w:r>
        <w:t>F</w:t>
      </w:r>
      <w:r>
        <w:rPr>
          <w:rFonts w:hint="eastAsia"/>
        </w:rPr>
        <w:t>值</w:t>
      </w:r>
      <w:r>
        <w:t>(0.011)</w:t>
      </w:r>
      <w:r>
        <w:rPr>
          <w:rFonts w:ascii="新細明體" w:eastAsia="新細明體" w:hAnsi="新細明體" w:hint="eastAsia"/>
        </w:rPr>
        <w:t>&lt;</w:t>
      </w:r>
      <w:r>
        <w:rPr>
          <w:rFonts w:hint="eastAsia"/>
        </w:rPr>
        <w:t>顯著值</w:t>
      </w:r>
      <w:r>
        <w:t>(0.919)</w:t>
      </w:r>
      <w:r>
        <w:rPr>
          <w:rFonts w:hint="eastAsia"/>
        </w:rPr>
        <w:t>，故為不顯著。</w:t>
      </w:r>
    </w:p>
    <w:p w14:paraId="118E0A93" w14:textId="710A7913" w:rsidR="00234276" w:rsidRDefault="00234276" w:rsidP="00B96BEE">
      <w:pPr>
        <w:pStyle w:val="a3"/>
        <w:ind w:leftChars="0" w:left="360"/>
      </w:pPr>
      <w:r w:rsidRPr="00234276">
        <w:rPr>
          <w:rFonts w:hint="eastAsia"/>
          <w:highlight w:val="yellow"/>
        </w:rPr>
        <w:t>即</w:t>
      </w:r>
      <w:r w:rsidRPr="00234276">
        <w:rPr>
          <w:highlight w:val="yellow"/>
        </w:rPr>
        <w:t>PPP</w:t>
      </w:r>
      <w:r w:rsidRPr="00234276">
        <w:rPr>
          <w:rFonts w:hint="eastAsia"/>
          <w:highlight w:val="yellow"/>
        </w:rPr>
        <w:t>不成立。</w:t>
      </w:r>
    </w:p>
    <w:p w14:paraId="39D3CABC" w14:textId="19D28565" w:rsidR="00DF36E4" w:rsidRDefault="00DF36E4" w:rsidP="00B96BEE">
      <w:pPr>
        <w:pStyle w:val="a3"/>
        <w:ind w:leftChars="0" w:left="360"/>
      </w:pPr>
    </w:p>
    <w:p w14:paraId="3C54206D" w14:textId="0DD89946" w:rsidR="006F6F24" w:rsidRPr="00B96BEE" w:rsidRDefault="006F6F24" w:rsidP="00B96BEE">
      <w:pPr>
        <w:pStyle w:val="a3"/>
        <w:ind w:leftChars="0" w:left="360"/>
      </w:pPr>
      <w:r>
        <w:t>PPP</w:t>
      </w:r>
      <w:r>
        <w:rPr>
          <w:rFonts w:hint="eastAsia"/>
        </w:rPr>
        <w:t>的基本原理為同一種貨幣在不同國家的價格是相同的，然而在現實生活中因為交易成本（關稅、運輸成本、稅收等）、各個國家不同的貨幣供給（通膨造成幣值差異）的問題使此理論不一定成立。</w:t>
      </w:r>
    </w:p>
    <w:p w14:paraId="3C5CA85B" w14:textId="33249583" w:rsidR="005A6668" w:rsidRDefault="00E37D26" w:rsidP="00E37D26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0B5DC027" wp14:editId="5157FBE8">
            <wp:extent cx="5137901" cy="4332514"/>
            <wp:effectExtent l="0" t="0" r="571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14" cy="435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0CC0" w14:textId="586F1F0D" w:rsidR="00990A1E" w:rsidRPr="0087315F" w:rsidRDefault="00E37D26" w:rsidP="0087315F">
      <w:pPr>
        <w:pStyle w:val="a3"/>
        <w:ind w:leftChars="0" w:left="360"/>
        <w:jc w:val="center"/>
        <w:rPr>
          <w:sz w:val="20"/>
          <w:szCs w:val="20"/>
        </w:rPr>
      </w:pPr>
      <w:r w:rsidRPr="00E37D26">
        <w:rPr>
          <w:rFonts w:hint="eastAsia"/>
          <w:sz w:val="20"/>
          <w:szCs w:val="20"/>
        </w:rPr>
        <w:t>（表三）台灣</w:t>
      </w:r>
      <w:r w:rsidRPr="00E37D26">
        <w:rPr>
          <w:sz w:val="20"/>
          <w:szCs w:val="20"/>
        </w:rPr>
        <w:t>CPI</w:t>
      </w:r>
      <w:r w:rsidRPr="00E37D26">
        <w:rPr>
          <w:rFonts w:hint="eastAsia"/>
          <w:sz w:val="20"/>
          <w:szCs w:val="20"/>
        </w:rPr>
        <w:t>及日本</w:t>
      </w:r>
      <w:r w:rsidRPr="00E37D26">
        <w:rPr>
          <w:sz w:val="20"/>
          <w:szCs w:val="20"/>
        </w:rPr>
        <w:t>CPI</w:t>
      </w:r>
      <w:r w:rsidR="00CB7F0F">
        <w:rPr>
          <w:rFonts w:hint="eastAsia"/>
          <w:sz w:val="20"/>
          <w:szCs w:val="20"/>
        </w:rPr>
        <w:t>指數</w:t>
      </w:r>
      <w:r w:rsidRPr="00E37D26">
        <w:rPr>
          <w:rFonts w:hint="eastAsia"/>
          <w:sz w:val="20"/>
          <w:szCs w:val="20"/>
        </w:rPr>
        <w:t>、匯率變動率</w:t>
      </w:r>
    </w:p>
    <w:p w14:paraId="61468C53" w14:textId="28C52B91" w:rsidR="00E37D26" w:rsidRDefault="00E37D26" w:rsidP="00E37D26">
      <w:pPr>
        <w:pStyle w:val="a3"/>
        <w:ind w:leftChars="0" w:left="360"/>
      </w:pPr>
      <w:r>
        <w:rPr>
          <w:rFonts w:hint="eastAsia"/>
          <w:noProof/>
        </w:rPr>
        <w:lastRenderedPageBreak/>
        <w:drawing>
          <wp:inline distT="0" distB="0" distL="0" distR="0" wp14:anchorId="63BE4D5E" wp14:editId="236B25ED">
            <wp:extent cx="5274310" cy="1812290"/>
            <wp:effectExtent l="0" t="0" r="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108CD" w14:textId="44F10984" w:rsidR="00E37D26" w:rsidRDefault="00E37D26" w:rsidP="00990A1E">
      <w:pPr>
        <w:pStyle w:val="a3"/>
        <w:ind w:leftChars="0" w:left="360"/>
        <w:jc w:val="center"/>
        <w:rPr>
          <w:sz w:val="20"/>
          <w:szCs w:val="20"/>
        </w:rPr>
      </w:pPr>
      <w:r w:rsidRPr="00E37D26">
        <w:rPr>
          <w:rFonts w:hint="eastAsia"/>
          <w:sz w:val="20"/>
          <w:szCs w:val="20"/>
        </w:rPr>
        <w:t>（表四）回歸統計表</w:t>
      </w:r>
    </w:p>
    <w:p w14:paraId="6E06D7F4" w14:textId="050243A4" w:rsidR="004C5901" w:rsidRDefault="004C5901" w:rsidP="004C5901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 wp14:anchorId="351EF377" wp14:editId="7A842767">
            <wp:extent cx="5274310" cy="3424555"/>
            <wp:effectExtent l="0" t="0" r="0" b="444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961D" w14:textId="5935D48A" w:rsidR="004C5901" w:rsidRDefault="004C5901" w:rsidP="004C5901">
      <w:pPr>
        <w:pStyle w:val="a3"/>
        <w:ind w:leftChars="0" w:left="36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（圖四）</w:t>
      </w:r>
      <w:r>
        <w:rPr>
          <w:sz w:val="20"/>
          <w:szCs w:val="20"/>
        </w:rPr>
        <w:t>PPP</w:t>
      </w:r>
    </w:p>
    <w:p w14:paraId="09948B19" w14:textId="77777777" w:rsidR="004C5901" w:rsidRPr="00990A1E" w:rsidRDefault="004C5901" w:rsidP="004C5901">
      <w:pPr>
        <w:pStyle w:val="a3"/>
        <w:ind w:leftChars="0" w:left="360"/>
        <w:rPr>
          <w:sz w:val="20"/>
          <w:szCs w:val="20"/>
        </w:rPr>
      </w:pPr>
    </w:p>
    <w:p w14:paraId="5CC830EF" w14:textId="5B03717A" w:rsidR="00E37D26" w:rsidRDefault="00990A1E" w:rsidP="00C82912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運用台幣及日圓數據計算出</w:t>
      </w:r>
      <w:r>
        <w:rPr>
          <w:rFonts w:hint="eastAsia"/>
        </w:rPr>
        <w:t>(</w:t>
      </w:r>
      <w:proofErr w:type="spellStart"/>
      <w:r>
        <w:t>ld-lf</w:t>
      </w:r>
      <w:proofErr w:type="spellEnd"/>
      <w:r>
        <w:rPr>
          <w:rFonts w:hint="eastAsia"/>
        </w:rPr>
        <w:t>)</w:t>
      </w:r>
      <w:r>
        <w:t>/(1+lf)</w:t>
      </w:r>
      <w:r>
        <w:rPr>
          <w:rFonts w:hint="eastAsia"/>
        </w:rPr>
        <w:t>及匯率變動率，並透過迴歸分析</w:t>
      </w:r>
      <w:r>
        <w:t>IFE</w:t>
      </w:r>
      <w:r>
        <w:rPr>
          <w:rFonts w:hint="eastAsia"/>
        </w:rPr>
        <w:t>是否成立，如表</w:t>
      </w:r>
      <w:r w:rsidR="00CB7F0F">
        <w:rPr>
          <w:rFonts w:hint="eastAsia"/>
        </w:rPr>
        <w:t>五</w:t>
      </w:r>
      <w:r>
        <w:rPr>
          <w:rFonts w:hint="eastAsia"/>
        </w:rPr>
        <w:t>、表</w:t>
      </w:r>
      <w:r w:rsidR="00CB7F0F">
        <w:rPr>
          <w:rFonts w:hint="eastAsia"/>
        </w:rPr>
        <w:t>六、圖五</w:t>
      </w:r>
      <w:r>
        <w:rPr>
          <w:rFonts w:hint="eastAsia"/>
        </w:rPr>
        <w:t>。</w:t>
      </w:r>
    </w:p>
    <w:p w14:paraId="166970EF" w14:textId="3AEA2AEE" w:rsidR="00C82912" w:rsidRDefault="00DE6117" w:rsidP="00C82912">
      <w:pPr>
        <w:pStyle w:val="a3"/>
        <w:ind w:leftChars="0" w:left="36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-0.023-1</m:t>
            </m:r>
            <m:ctrlPr>
              <w:rPr>
                <w:rFonts w:ascii="Cambria Math" w:hAnsi="Cambria Math" w:hint="eastAsia"/>
                <w:i/>
              </w:rPr>
            </m:ctrlPr>
          </m:num>
          <m:den>
            <m:r>
              <w:rPr>
                <w:rFonts w:ascii="Cambria Math" w:hAnsi="Cambria Math"/>
              </w:rPr>
              <m:t>0.02</m:t>
            </m:r>
          </m:den>
        </m:f>
      </m:oMath>
      <w:r w:rsidR="00C82912">
        <w:t>=-51.15</w:t>
      </w:r>
    </w:p>
    <w:p w14:paraId="661E4CA6" w14:textId="565B06ED" w:rsidR="00C82912" w:rsidRPr="00B96BEE" w:rsidRDefault="00DE6117" w:rsidP="00C82912">
      <w:pPr>
        <w:pStyle w:val="a3"/>
        <w:ind w:leftChars="0" w:left="360"/>
      </w:pPr>
      <m:oMath>
        <m:acc>
          <m:accPr>
            <m:ctrlPr>
              <w:rPr>
                <w:rFonts w:ascii="Cambria Math" w:hAnsi="Cambria Math"/>
              </w:rPr>
            </m:ctrlPr>
          </m:accPr>
          <m:e>
            <m:r>
              <m:rPr>
                <m:scr m:val="script"/>
                <m:sty m:val="p"/>
              </m:rPr>
              <w:rPr>
                <w:rFonts w:ascii="Cambria Math" w:hAnsi="Cambria Math"/>
              </w:rPr>
              <m:t>Y</m:t>
            </m:r>
          </m:e>
        </m:acc>
        <m:r>
          <m:rPr>
            <m:sty m:val="p"/>
          </m:rPr>
          <w:rPr>
            <w:rFonts w:ascii="Cambria Math" w:hAnsi="Cambria Math"/>
          </w:rPr>
          <m:t>=0.01-0.023</m:t>
        </m:r>
        <m:r>
          <m:rPr>
            <m:scr m:val="script"/>
            <m:sty m:val="p"/>
          </m:rPr>
          <w:rPr>
            <w:rFonts w:ascii="Cambria Math" w:hAnsi="Cambria Math"/>
          </w:rPr>
          <m:t>x</m:t>
        </m:r>
      </m:oMath>
      <w:r w:rsidR="00C82912">
        <w:rPr>
          <w:rFonts w:hint="eastAsia"/>
        </w:rPr>
        <w:t xml:space="preserve"> </w:t>
      </w:r>
    </w:p>
    <w:p w14:paraId="336F759D" w14:textId="53195975" w:rsidR="00C82912" w:rsidRPr="00554BAF" w:rsidRDefault="00C82912" w:rsidP="00C82912">
      <w:pPr>
        <w:pStyle w:val="a3"/>
        <w:ind w:leftChars="0" w:left="36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</m:t>
          </m:r>
          <m:r>
            <w:rPr>
              <w:rFonts w:ascii="Cambria Math" w:hAnsi="Cambria Math" w:hint="eastAsia"/>
            </w:rPr>
            <m:t>=</m:t>
          </m:r>
          <m:r>
            <w:rPr>
              <w:rFonts w:ascii="Cambria Math" w:hAnsi="Cambria Math"/>
            </w:rPr>
            <m:t>0.01</m:t>
          </m:r>
          <m:r>
            <m:rPr>
              <m:sty m:val="p"/>
            </m:rPr>
            <w:rPr>
              <w:rFonts w:ascii="Cambria Math" w:hAnsi="Cambria Math" w:hint="eastAsia"/>
            </w:rPr>
            <m:t>推論母體</m:t>
          </m:r>
          <m:r>
            <w:rPr>
              <w:rFonts w:ascii="Cambria Math" w:hAnsi="Cambria Math"/>
            </w:rPr>
            <m:t>α</m:t>
          </m:r>
        </m:oMath>
      </m:oMathPara>
    </w:p>
    <w:p w14:paraId="55FFE4CC" w14:textId="7359B248" w:rsidR="00C82912" w:rsidRDefault="00C82912" w:rsidP="00C82912">
      <w:pPr>
        <w:pStyle w:val="a3"/>
        <w:ind w:leftChars="0" w:left="360"/>
      </w:pPr>
      <m:oMath>
        <m:r>
          <w:rPr>
            <w:rFonts w:ascii="Cambria Math" w:hAnsi="Cambria Math"/>
          </w:rPr>
          <m:t>b=-0.023</m:t>
        </m:r>
        <m:r>
          <m:rPr>
            <m:sty m:val="p"/>
          </m:rPr>
          <w:rPr>
            <w:rFonts w:ascii="Cambria Math" w:hAnsi="Cambria Math" w:hint="eastAsia"/>
          </w:rPr>
          <m:t>推論母體</m:t>
        </m:r>
        <m:r>
          <w:rPr>
            <w:rFonts w:ascii="Cambria Math" w:hAnsi="Cambria Math"/>
          </w:rPr>
          <m:t xml:space="preserve"> β</m:t>
        </m:r>
      </m:oMath>
      <w:r>
        <w:rPr>
          <w:rFonts w:hint="eastAsia"/>
        </w:rPr>
        <w:t xml:space="preserve"> </w:t>
      </w:r>
    </w:p>
    <w:p w14:paraId="54F93B01" w14:textId="5A87F141" w:rsidR="00C82912" w:rsidRDefault="00C82912" w:rsidP="00C82912">
      <w:pPr>
        <w:pStyle w:val="a3"/>
        <w:ind w:leftChars="0" w:left="360"/>
      </w:pPr>
      <w:r>
        <w:t>F</w:t>
      </w:r>
      <w:r>
        <w:rPr>
          <w:rFonts w:hint="eastAsia"/>
        </w:rPr>
        <w:t>值</w:t>
      </w:r>
      <w:r>
        <w:t>(1.355)</w:t>
      </w:r>
      <w:r>
        <w:rPr>
          <w:rFonts w:ascii="新細明體" w:eastAsia="新細明體" w:hAnsi="新細明體" w:hint="eastAsia"/>
        </w:rPr>
        <w:t>&gt;</w:t>
      </w:r>
      <w:r>
        <w:rPr>
          <w:rFonts w:hint="eastAsia"/>
        </w:rPr>
        <w:t>顯著值</w:t>
      </w:r>
      <w:r>
        <w:t>(0.256)</w:t>
      </w:r>
      <w:r>
        <w:rPr>
          <w:rFonts w:hint="eastAsia"/>
        </w:rPr>
        <w:t>，故為顯著。</w:t>
      </w:r>
    </w:p>
    <w:p w14:paraId="2E254950" w14:textId="56FA6F5E" w:rsidR="00C82912" w:rsidRDefault="00C82912" w:rsidP="00C82912">
      <w:pPr>
        <w:pStyle w:val="a3"/>
        <w:ind w:leftChars="0" w:left="360"/>
      </w:pPr>
      <w:r w:rsidRPr="00234276">
        <w:rPr>
          <w:rFonts w:hint="eastAsia"/>
          <w:highlight w:val="yellow"/>
        </w:rPr>
        <w:t>即</w:t>
      </w:r>
      <w:r>
        <w:rPr>
          <w:highlight w:val="yellow"/>
        </w:rPr>
        <w:t>IFE</w:t>
      </w:r>
      <w:r w:rsidRPr="00234276">
        <w:rPr>
          <w:rFonts w:hint="eastAsia"/>
          <w:highlight w:val="yellow"/>
        </w:rPr>
        <w:t>成立。</w:t>
      </w:r>
    </w:p>
    <w:p w14:paraId="608F3FC4" w14:textId="7315D15C" w:rsidR="000D35EC" w:rsidRDefault="000D35EC" w:rsidP="00C82912">
      <w:pPr>
        <w:pStyle w:val="a3"/>
        <w:ind w:leftChars="0" w:left="360"/>
      </w:pPr>
      <w:r>
        <w:rPr>
          <w:rFonts w:hint="eastAsia"/>
        </w:rPr>
        <w:t>雖然在此數據下是成立的，但大都時候實務上常常受到許多因素影響，且無套利條件並非實際，存在許多限制，常常無法成立。</w:t>
      </w:r>
    </w:p>
    <w:p w14:paraId="50B42538" w14:textId="77777777" w:rsidR="000D35EC" w:rsidRPr="000D35EC" w:rsidRDefault="000D35EC" w:rsidP="00C82912">
      <w:pPr>
        <w:pStyle w:val="a3"/>
        <w:ind w:leftChars="0" w:left="360"/>
      </w:pPr>
    </w:p>
    <w:p w14:paraId="540718F4" w14:textId="2BDF776F" w:rsidR="00EC581F" w:rsidRDefault="00EC581F" w:rsidP="00EC581F">
      <w:pPr>
        <w:pStyle w:val="a3"/>
        <w:ind w:leftChars="0" w:left="360"/>
      </w:pPr>
      <w:r>
        <w:rPr>
          <w:rFonts w:hint="eastAsia"/>
          <w:noProof/>
        </w:rPr>
        <w:lastRenderedPageBreak/>
        <w:drawing>
          <wp:inline distT="0" distB="0" distL="0" distR="0" wp14:anchorId="162DD393" wp14:editId="01BFE469">
            <wp:extent cx="5274310" cy="5114925"/>
            <wp:effectExtent l="0" t="0" r="0" b="317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A016" w14:textId="68C4D85E" w:rsidR="00EC581F" w:rsidRPr="00CB7F0F" w:rsidRDefault="00CB7F0F" w:rsidP="00CB7F0F">
      <w:pPr>
        <w:pStyle w:val="a3"/>
        <w:ind w:leftChars="0" w:left="360"/>
        <w:jc w:val="center"/>
        <w:rPr>
          <w:sz w:val="20"/>
          <w:szCs w:val="20"/>
        </w:rPr>
      </w:pPr>
      <w:r w:rsidRPr="00CB7F0F">
        <w:rPr>
          <w:rFonts w:hint="eastAsia"/>
          <w:sz w:val="20"/>
          <w:szCs w:val="20"/>
        </w:rPr>
        <w:t>（表五）台幣與日圓數據、匯率變動率</w:t>
      </w:r>
    </w:p>
    <w:p w14:paraId="51C91544" w14:textId="076AD27E" w:rsidR="00EC581F" w:rsidRDefault="00EC581F" w:rsidP="00EC581F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136FC594" wp14:editId="23861DF7">
            <wp:extent cx="5274310" cy="2484755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D702" w14:textId="5C4BCC97" w:rsidR="00CB7F0F" w:rsidRDefault="00CB7F0F" w:rsidP="00CB7F0F">
      <w:pPr>
        <w:pStyle w:val="a3"/>
        <w:ind w:leftChars="0" w:left="360"/>
        <w:jc w:val="center"/>
        <w:rPr>
          <w:sz w:val="20"/>
          <w:szCs w:val="20"/>
        </w:rPr>
      </w:pPr>
      <w:r w:rsidRPr="00CB7F0F">
        <w:rPr>
          <w:rFonts w:hint="eastAsia"/>
          <w:sz w:val="20"/>
          <w:szCs w:val="20"/>
        </w:rPr>
        <w:t>（表六）迴歸統計表</w:t>
      </w:r>
    </w:p>
    <w:p w14:paraId="62F4A381" w14:textId="0127872E" w:rsidR="004C5901" w:rsidRDefault="004C5901" w:rsidP="004C5901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lastRenderedPageBreak/>
        <w:drawing>
          <wp:inline distT="0" distB="0" distL="0" distR="0" wp14:anchorId="13C0E0CC" wp14:editId="4DFD2F09">
            <wp:extent cx="5274310" cy="3333750"/>
            <wp:effectExtent l="0" t="0" r="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A967" w14:textId="1DE404FC" w:rsidR="004C5901" w:rsidRDefault="004C5901" w:rsidP="004C5901">
      <w:pPr>
        <w:pStyle w:val="a3"/>
        <w:ind w:leftChars="0" w:left="36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（圖五）</w:t>
      </w:r>
      <w:r>
        <w:rPr>
          <w:sz w:val="20"/>
          <w:szCs w:val="20"/>
        </w:rPr>
        <w:t>IFE</w:t>
      </w:r>
    </w:p>
    <w:p w14:paraId="4F9FFD3B" w14:textId="47C2976D" w:rsidR="00DE6117" w:rsidRDefault="00DE6117" w:rsidP="00DE6117">
      <w:pPr>
        <w:pStyle w:val="a3"/>
        <w:ind w:leftChars="0" w:left="360"/>
        <w:rPr>
          <w:sz w:val="20"/>
          <w:szCs w:val="20"/>
        </w:rPr>
      </w:pPr>
    </w:p>
    <w:p w14:paraId="0F380605" w14:textId="356F43AC" w:rsidR="00DE6117" w:rsidRPr="00DE6117" w:rsidRDefault="00DE6117" w:rsidP="00DE6117">
      <w:pPr>
        <w:pStyle w:val="a3"/>
        <w:ind w:leftChars="0" w:left="360"/>
      </w:pPr>
      <w:r w:rsidRPr="00DE6117">
        <w:rPr>
          <w:rFonts w:hint="eastAsia"/>
        </w:rPr>
        <w:t>參考資料：</w:t>
      </w:r>
    </w:p>
    <w:p w14:paraId="6DF040FB" w14:textId="6903EA50" w:rsidR="00DE6117" w:rsidRDefault="00DE6117" w:rsidP="00DE6117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sz w:val="20"/>
          <w:szCs w:val="20"/>
        </w:rPr>
        <w:t>行政院主計總處</w:t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</w:instrText>
      </w:r>
      <w:r w:rsidRPr="00DE6117">
        <w:rPr>
          <w:sz w:val="20"/>
          <w:szCs w:val="20"/>
        </w:rPr>
        <w:instrText>https://www.dgbas.gov.tw/default.aspx</w:instrText>
      </w:r>
      <w:r>
        <w:rPr>
          <w:sz w:val="20"/>
          <w:szCs w:val="20"/>
        </w:rPr>
        <w:instrText xml:space="preserve">" </w:instrText>
      </w:r>
      <w:r>
        <w:rPr>
          <w:sz w:val="20"/>
          <w:szCs w:val="20"/>
        </w:rPr>
        <w:fldChar w:fldCharType="separate"/>
      </w:r>
      <w:r w:rsidRPr="006A100D">
        <w:rPr>
          <w:rStyle w:val="a7"/>
          <w:sz w:val="20"/>
          <w:szCs w:val="20"/>
        </w:rPr>
        <w:t>https://www.dgbas.gov.tw/default.aspx</w:t>
      </w:r>
      <w:r>
        <w:rPr>
          <w:sz w:val="20"/>
          <w:szCs w:val="20"/>
        </w:rPr>
        <w:fldChar w:fldCharType="end"/>
      </w:r>
    </w:p>
    <w:p w14:paraId="2809CEA7" w14:textId="15129C73" w:rsidR="00DE6117" w:rsidRDefault="00DE6117" w:rsidP="00DE6117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sz w:val="20"/>
          <w:szCs w:val="20"/>
        </w:rPr>
        <w:t>財金</w:t>
      </w:r>
      <w:r>
        <w:rPr>
          <w:sz w:val="20"/>
          <w:szCs w:val="20"/>
        </w:rPr>
        <w:t>M</w:t>
      </w:r>
      <w:r>
        <w:rPr>
          <w:rFonts w:hint="eastAsia"/>
          <w:sz w:val="20"/>
          <w:szCs w:val="20"/>
        </w:rPr>
        <w:t>平方</w:t>
      </w:r>
      <w:r>
        <w:rPr>
          <w:rFonts w:hint="eastAsia"/>
          <w:sz w:val="20"/>
          <w:szCs w:val="20"/>
        </w:rPr>
        <w:t xml:space="preserve"> </w:t>
      </w:r>
      <w:hyperlink r:id="rId17" w:history="1">
        <w:r w:rsidRPr="006A100D">
          <w:rPr>
            <w:rStyle w:val="a7"/>
            <w:sz w:val="20"/>
            <w:szCs w:val="20"/>
          </w:rPr>
          <w:t>https://www.macromicro.me/collections/49/jp-price-relative/681/jp-cpi</w:t>
        </w:r>
      </w:hyperlink>
    </w:p>
    <w:p w14:paraId="4594F80D" w14:textId="7C747003" w:rsidR="00DE6117" w:rsidRDefault="00DE6117" w:rsidP="00DE6117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sz w:val="20"/>
          <w:szCs w:val="20"/>
        </w:rPr>
        <w:t>國外財金網站</w:t>
      </w: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HYPERLINK "</w:instrText>
      </w:r>
      <w:r w:rsidRPr="00DE6117">
        <w:rPr>
          <w:sz w:val="20"/>
          <w:szCs w:val="20"/>
        </w:rPr>
        <w:instrText>https://www.investing.com/</w:instrText>
      </w:r>
      <w:r>
        <w:rPr>
          <w:sz w:val="20"/>
          <w:szCs w:val="20"/>
        </w:rPr>
        <w:instrText xml:space="preserve">" </w:instrText>
      </w:r>
      <w:r>
        <w:rPr>
          <w:sz w:val="20"/>
          <w:szCs w:val="20"/>
        </w:rPr>
        <w:fldChar w:fldCharType="separate"/>
      </w:r>
      <w:r w:rsidRPr="006A100D">
        <w:rPr>
          <w:rStyle w:val="a7"/>
          <w:sz w:val="20"/>
          <w:szCs w:val="20"/>
        </w:rPr>
        <w:t>https://www.investing.com/</w:t>
      </w:r>
      <w:r>
        <w:rPr>
          <w:sz w:val="20"/>
          <w:szCs w:val="20"/>
        </w:rPr>
        <w:fldChar w:fldCharType="end"/>
      </w:r>
    </w:p>
    <w:p w14:paraId="6859D80A" w14:textId="0556778E" w:rsidR="00DE6117" w:rsidRDefault="00DE6117" w:rsidP="00DE6117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sz w:val="20"/>
          <w:szCs w:val="20"/>
        </w:rPr>
        <w:t>香港</w:t>
      </w:r>
      <w:r>
        <w:rPr>
          <w:sz w:val="20"/>
          <w:szCs w:val="20"/>
        </w:rPr>
        <w:t>Yahoo</w:t>
      </w:r>
      <w:r>
        <w:rPr>
          <w:rFonts w:hint="eastAsia"/>
          <w:sz w:val="20"/>
          <w:szCs w:val="20"/>
        </w:rPr>
        <w:t>財金分頁</w:t>
      </w:r>
      <w:r>
        <w:rPr>
          <w:rFonts w:hint="eastAsia"/>
          <w:sz w:val="20"/>
          <w:szCs w:val="20"/>
        </w:rPr>
        <w:t xml:space="preserve"> </w:t>
      </w:r>
      <w:hyperlink r:id="rId18" w:history="1">
        <w:r w:rsidRPr="006A100D">
          <w:rPr>
            <w:rStyle w:val="a7"/>
            <w:sz w:val="20"/>
            <w:szCs w:val="20"/>
          </w:rPr>
          <w:t>https://hk.finance.yahoo.com/</w:t>
        </w:r>
      </w:hyperlink>
    </w:p>
    <w:p w14:paraId="61352880" w14:textId="711E0FB3" w:rsidR="00DE6117" w:rsidRDefault="00DE6117" w:rsidP="00DE6117">
      <w:pPr>
        <w:pStyle w:val="a3"/>
        <w:ind w:leftChars="0" w:left="360"/>
        <w:rPr>
          <w:sz w:val="20"/>
          <w:szCs w:val="20"/>
        </w:rPr>
      </w:pPr>
      <w:r>
        <w:rPr>
          <w:rFonts w:hint="eastAsia"/>
          <w:sz w:val="20"/>
          <w:szCs w:val="20"/>
        </w:rPr>
        <w:t>台灣外匯</w:t>
      </w:r>
      <w:r>
        <w:rPr>
          <w:rFonts w:hint="eastAsia"/>
          <w:sz w:val="20"/>
          <w:szCs w:val="20"/>
        </w:rPr>
        <w:t xml:space="preserve"> </w:t>
      </w:r>
      <w:hyperlink r:id="rId19" w:history="1">
        <w:r w:rsidRPr="006A100D">
          <w:rPr>
            <w:rStyle w:val="a7"/>
            <w:sz w:val="20"/>
            <w:szCs w:val="20"/>
          </w:rPr>
          <w:t>https://rate.bot.com.tw/ir?Lang=zh-TW</w:t>
        </w:r>
      </w:hyperlink>
    </w:p>
    <w:p w14:paraId="34189362" w14:textId="39304448" w:rsidR="00DE6117" w:rsidRPr="00DE6117" w:rsidRDefault="00DE6117" w:rsidP="00DE6117">
      <w:pPr>
        <w:pStyle w:val="a3"/>
        <w:ind w:leftChars="0" w:left="360"/>
        <w:rPr>
          <w:rFonts w:hint="eastAsia"/>
          <w:sz w:val="20"/>
          <w:szCs w:val="20"/>
        </w:rPr>
      </w:pPr>
      <w:proofErr w:type="spellStart"/>
      <w:r>
        <w:rPr>
          <w:sz w:val="20"/>
          <w:szCs w:val="20"/>
        </w:rPr>
        <w:t>Youtube</w:t>
      </w:r>
      <w:proofErr w:type="spellEnd"/>
      <w:r>
        <w:rPr>
          <w:rFonts w:hint="eastAsia"/>
          <w:sz w:val="20"/>
          <w:szCs w:val="20"/>
        </w:rPr>
        <w:t>頻道</w:t>
      </w:r>
      <w:r>
        <w:rPr>
          <w:rFonts w:hint="eastAsia"/>
          <w:sz w:val="20"/>
          <w:szCs w:val="20"/>
        </w:rPr>
        <w:t xml:space="preserve"> </w:t>
      </w:r>
      <w:hyperlink r:id="rId20" w:history="1">
        <w:r w:rsidRPr="006A100D">
          <w:rPr>
            <w:rStyle w:val="a7"/>
            <w:sz w:val="20"/>
            <w:szCs w:val="20"/>
          </w:rPr>
          <w:t>https://www.youtube.com/@ftwen7327</w:t>
        </w:r>
      </w:hyperlink>
    </w:p>
    <w:sectPr w:rsidR="00DE6117" w:rsidRPr="00DE61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A4DD1"/>
    <w:multiLevelType w:val="hybridMultilevel"/>
    <w:tmpl w:val="89C0EB9E"/>
    <w:lvl w:ilvl="0" w:tplc="3124B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0102BA"/>
    <w:multiLevelType w:val="hybridMultilevel"/>
    <w:tmpl w:val="31ACDD6E"/>
    <w:lvl w:ilvl="0" w:tplc="649C4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373EBC"/>
    <w:multiLevelType w:val="hybridMultilevel"/>
    <w:tmpl w:val="D5326178"/>
    <w:lvl w:ilvl="0" w:tplc="BBF66B54">
      <w:start w:val="1"/>
      <w:numFmt w:val="taiwaneseCountingThousand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7FC6A77"/>
    <w:multiLevelType w:val="hybridMultilevel"/>
    <w:tmpl w:val="DCA074F8"/>
    <w:lvl w:ilvl="0" w:tplc="C2B4E6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1616FD4"/>
    <w:multiLevelType w:val="hybridMultilevel"/>
    <w:tmpl w:val="0E0AE012"/>
    <w:lvl w:ilvl="0" w:tplc="466C2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D66CBD"/>
    <w:multiLevelType w:val="hybridMultilevel"/>
    <w:tmpl w:val="48A2EB16"/>
    <w:lvl w:ilvl="0" w:tplc="23CED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BA54B6A"/>
    <w:multiLevelType w:val="hybridMultilevel"/>
    <w:tmpl w:val="E8DCE79E"/>
    <w:lvl w:ilvl="0" w:tplc="A8B48A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61B"/>
    <w:rsid w:val="00071663"/>
    <w:rsid w:val="000C693E"/>
    <w:rsid w:val="000D35EC"/>
    <w:rsid w:val="00113522"/>
    <w:rsid w:val="00144C86"/>
    <w:rsid w:val="00164604"/>
    <w:rsid w:val="00210321"/>
    <w:rsid w:val="00234276"/>
    <w:rsid w:val="00246EC9"/>
    <w:rsid w:val="002929C4"/>
    <w:rsid w:val="002C76DB"/>
    <w:rsid w:val="00345703"/>
    <w:rsid w:val="0035558A"/>
    <w:rsid w:val="00375893"/>
    <w:rsid w:val="003E0C30"/>
    <w:rsid w:val="00453C79"/>
    <w:rsid w:val="004716DC"/>
    <w:rsid w:val="004A0D91"/>
    <w:rsid w:val="004C5901"/>
    <w:rsid w:val="00554BAF"/>
    <w:rsid w:val="005974F5"/>
    <w:rsid w:val="005A6668"/>
    <w:rsid w:val="005D5727"/>
    <w:rsid w:val="00634963"/>
    <w:rsid w:val="006F38D5"/>
    <w:rsid w:val="006F6F24"/>
    <w:rsid w:val="00706B25"/>
    <w:rsid w:val="00830244"/>
    <w:rsid w:val="008550B6"/>
    <w:rsid w:val="0087315F"/>
    <w:rsid w:val="00892856"/>
    <w:rsid w:val="00937991"/>
    <w:rsid w:val="00990A1E"/>
    <w:rsid w:val="00B70165"/>
    <w:rsid w:val="00B74A2B"/>
    <w:rsid w:val="00B96BEE"/>
    <w:rsid w:val="00BB0F04"/>
    <w:rsid w:val="00BC169F"/>
    <w:rsid w:val="00C71FF3"/>
    <w:rsid w:val="00C82912"/>
    <w:rsid w:val="00CB661B"/>
    <w:rsid w:val="00CB7F0F"/>
    <w:rsid w:val="00D04996"/>
    <w:rsid w:val="00DE6117"/>
    <w:rsid w:val="00DF36E4"/>
    <w:rsid w:val="00E37D26"/>
    <w:rsid w:val="00EC581F"/>
    <w:rsid w:val="00ED2639"/>
    <w:rsid w:val="00F35CB4"/>
    <w:rsid w:val="00F9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FD641"/>
  <w15:chartTrackingRefBased/>
  <w15:docId w15:val="{A6E3288F-9CBD-794C-8BBC-CD0ECF893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856"/>
    <w:pPr>
      <w:ind w:leftChars="200" w:left="480"/>
    </w:pPr>
  </w:style>
  <w:style w:type="character" w:styleId="a4">
    <w:name w:val="Placeholder Text"/>
    <w:basedOn w:val="a0"/>
    <w:uiPriority w:val="99"/>
    <w:semiHidden/>
    <w:rsid w:val="00B96BEE"/>
    <w:rPr>
      <w:color w:val="808080"/>
    </w:rPr>
  </w:style>
  <w:style w:type="paragraph" w:styleId="a5">
    <w:name w:val="Title"/>
    <w:basedOn w:val="a"/>
    <w:next w:val="a"/>
    <w:link w:val="a6"/>
    <w:uiPriority w:val="10"/>
    <w:qFormat/>
    <w:rsid w:val="00B7016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標題 字元"/>
    <w:basedOn w:val="a0"/>
    <w:link w:val="a5"/>
    <w:uiPriority w:val="10"/>
    <w:rsid w:val="00B701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DE611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E6117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DE61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hk.finance.yahoo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macromicro.me/collections/49/jp-price-relative/681/jp-cp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@ftwen732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rate.bot.com.tw/ir?Lang=zh-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34</cp:revision>
  <dcterms:created xsi:type="dcterms:W3CDTF">2023-05-06T08:14:00Z</dcterms:created>
  <dcterms:modified xsi:type="dcterms:W3CDTF">2023-05-06T19:07:00Z</dcterms:modified>
</cp:coreProperties>
</file>